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E94B" w14:textId="77777777" w:rsidR="002B2560" w:rsidRDefault="002B2560" w:rsidP="00D42F82"/>
    <w:p w14:paraId="6398DF26" w14:textId="77777777" w:rsidR="002B2560" w:rsidRDefault="002B2560" w:rsidP="00D42F82"/>
    <w:p w14:paraId="7AB5AD36" w14:textId="77777777" w:rsidR="002B2560" w:rsidRDefault="002B2560" w:rsidP="00D42F82"/>
    <w:p w14:paraId="26C2ECDA" w14:textId="77777777" w:rsidR="002B2560" w:rsidRDefault="002B2560" w:rsidP="00D42F82"/>
    <w:p w14:paraId="1F0520F8" w14:textId="77777777" w:rsidR="002B2560" w:rsidRDefault="002B2560" w:rsidP="00D42F82"/>
    <w:p w14:paraId="22CE7F4C" w14:textId="77777777" w:rsidR="002B2560" w:rsidRDefault="002B2560" w:rsidP="00D42F82"/>
    <w:p w14:paraId="66F638BC" w14:textId="77777777" w:rsidR="002B2560" w:rsidRDefault="002B2560" w:rsidP="00D42F82"/>
    <w:p w14:paraId="0EEB71FF" w14:textId="77777777" w:rsidR="002B2560" w:rsidRDefault="002B2560" w:rsidP="00D42F82"/>
    <w:sdt>
      <w:sdtPr>
        <w:alias w:val="Název"/>
        <w:id w:val="1120741009"/>
        <w:placeholder>
          <w:docPart w:val="CBB64DE7942A4129A1F688135BD66A8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7980F41D" w14:textId="3A387B1F" w:rsidR="002B2560" w:rsidRDefault="00FE2B2C" w:rsidP="00D42F82">
          <w:pPr>
            <w:pStyle w:val="Nzev"/>
          </w:pPr>
          <w:r>
            <w:t>TECHNICKÁ ZPRÁVA</w:t>
          </w:r>
        </w:p>
      </w:sdtContent>
    </w:sdt>
    <w:p w14:paraId="35680466" w14:textId="221AB0A5" w:rsidR="00A5687B" w:rsidRDefault="008144C7" w:rsidP="00A5687B">
      <w:pPr>
        <w:pStyle w:val="Podnadpis"/>
      </w:pPr>
      <w:r>
        <w:t>Elektroinstalace</w:t>
      </w:r>
      <w:r w:rsidR="00A5687B">
        <w:t xml:space="preserve"> </w:t>
      </w:r>
    </w:p>
    <w:p w14:paraId="727D7CF7" w14:textId="77777777" w:rsidR="00A5687B" w:rsidRDefault="00A5687B" w:rsidP="00A5687B"/>
    <w:p w14:paraId="53300D9C" w14:textId="77777777" w:rsidR="00A5687B" w:rsidRPr="005A789B" w:rsidRDefault="00A5687B" w:rsidP="00A5687B"/>
    <w:tbl>
      <w:tblPr>
        <w:tblStyle w:val="Inexestabulka"/>
        <w:tblW w:w="5000" w:type="pct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406"/>
        <w:gridCol w:w="6644"/>
      </w:tblGrid>
      <w:tr w:rsidR="00A5687B" w14:paraId="724F8D21" w14:textId="77777777" w:rsidTr="00E27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</w:tcPr>
          <w:p w14:paraId="7586F981" w14:textId="77777777" w:rsidR="00A5687B" w:rsidRDefault="00A5687B" w:rsidP="00E27D0E">
            <w:pPr>
              <w:pStyle w:val="Bezmezer"/>
            </w:pPr>
            <w:r>
              <w:t>Zařazení:</w:t>
            </w:r>
          </w:p>
        </w:tc>
        <w:tc>
          <w:tcPr>
            <w:tcW w:w="7152" w:type="dxa"/>
          </w:tcPr>
          <w:p w14:paraId="561EAFEA" w14:textId="358D314F" w:rsidR="00A5687B" w:rsidRPr="00957606" w:rsidRDefault="00412F9D" w:rsidP="00E27D0E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 xml:space="preserve">TĚLOCVIČNA </w:t>
            </w:r>
            <w:proofErr w:type="gramStart"/>
            <w:r>
              <w:rPr>
                <w:caps/>
              </w:rPr>
              <w:t>2 – 2</w:t>
            </w:r>
            <w:proofErr w:type="gramEnd"/>
            <w:r>
              <w:rPr>
                <w:caps/>
              </w:rPr>
              <w:t>.ZŠ Preislerova</w:t>
            </w:r>
          </w:p>
        </w:tc>
      </w:tr>
      <w:tr w:rsidR="00A5687B" w14:paraId="32BCE205" w14:textId="77777777" w:rsidTr="00E27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</w:tcPr>
          <w:p w14:paraId="70E6251E" w14:textId="77777777" w:rsidR="00A5687B" w:rsidRDefault="00A5687B" w:rsidP="00E27D0E">
            <w:pPr>
              <w:pStyle w:val="Bezmezer"/>
            </w:pPr>
            <w:r>
              <w:t xml:space="preserve">Umístění stavby: </w:t>
            </w:r>
          </w:p>
        </w:tc>
        <w:tc>
          <w:tcPr>
            <w:tcW w:w="7152" w:type="dxa"/>
          </w:tcPr>
          <w:p w14:paraId="482AF319" w14:textId="1C480590" w:rsidR="00A5687B" w:rsidRDefault="00412F9D" w:rsidP="00C70073">
            <w:pPr>
              <w:pStyle w:val="Bezmez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Hlk83806421"/>
            <w:bookmarkStart w:id="1" w:name="_Hlk90997980"/>
            <w:r>
              <w:t>Preislerova 1335/80,</w:t>
            </w:r>
            <w:r w:rsidR="00957606" w:rsidRPr="00957606">
              <w:t xml:space="preserve"> 266 01, Beroun – Město</w:t>
            </w:r>
            <w:r w:rsidR="00957606">
              <w:t xml:space="preserve">, </w:t>
            </w:r>
            <w:r w:rsidR="00957606" w:rsidRPr="00957606">
              <w:t>parc.č.</w:t>
            </w:r>
            <w:r>
              <w:t>1182/17;</w:t>
            </w:r>
            <w:r w:rsidR="00957606" w:rsidRPr="00957606">
              <w:t xml:space="preserve"> </w:t>
            </w:r>
            <w:r>
              <w:t>st.</w:t>
            </w:r>
            <w:bookmarkEnd w:id="0"/>
            <w:r>
              <w:t>2246</w:t>
            </w:r>
            <w:bookmarkEnd w:id="1"/>
          </w:p>
        </w:tc>
      </w:tr>
      <w:tr w:rsidR="00A5687B" w14:paraId="5EAAC0E3" w14:textId="77777777" w:rsidTr="00E27D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</w:tcPr>
          <w:p w14:paraId="1337AECA" w14:textId="77777777" w:rsidR="00A5687B" w:rsidRDefault="00A5687B" w:rsidP="00E27D0E">
            <w:pPr>
              <w:pStyle w:val="Bezmezer"/>
            </w:pPr>
            <w:r>
              <w:t>Verze dokumentu:</w:t>
            </w:r>
          </w:p>
        </w:tc>
        <w:tc>
          <w:tcPr>
            <w:tcW w:w="7152" w:type="dxa"/>
          </w:tcPr>
          <w:p w14:paraId="5A392E1C" w14:textId="137D1DAB" w:rsidR="00A5687B" w:rsidRDefault="00BA78FA" w:rsidP="00E27D0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A5687B" w14:paraId="7215AA9D" w14:textId="77777777" w:rsidTr="00E27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</w:tcPr>
          <w:p w14:paraId="57B6A0B3" w14:textId="77777777" w:rsidR="00A5687B" w:rsidRDefault="00A5687B" w:rsidP="00E27D0E">
            <w:pPr>
              <w:pStyle w:val="Bezmezer"/>
            </w:pPr>
            <w:r>
              <w:t>Datum:</w:t>
            </w:r>
          </w:p>
        </w:tc>
        <w:tc>
          <w:tcPr>
            <w:tcW w:w="7152" w:type="dxa"/>
          </w:tcPr>
          <w:p w14:paraId="143FE3DF" w14:textId="40C9439A" w:rsidR="00A5687B" w:rsidRDefault="00957606" w:rsidP="00E27D0E">
            <w:pPr>
              <w:pStyle w:val="Bezmez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412F9D">
              <w:t>0</w:t>
            </w:r>
            <w:r w:rsidR="00C867AE">
              <w:t>.</w:t>
            </w:r>
            <w:r w:rsidR="00412F9D">
              <w:t>12</w:t>
            </w:r>
            <w:r w:rsidR="00A5687B">
              <w:t>. 20</w:t>
            </w:r>
            <w:r w:rsidR="002B2009">
              <w:t>2</w:t>
            </w:r>
            <w:r w:rsidR="00A5687B">
              <w:t>1</w:t>
            </w:r>
          </w:p>
        </w:tc>
      </w:tr>
      <w:tr w:rsidR="00A5687B" w14:paraId="217A2839" w14:textId="77777777" w:rsidTr="00E27D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6" w:type="dxa"/>
          </w:tcPr>
          <w:p w14:paraId="443F499D" w14:textId="77777777" w:rsidR="00A5687B" w:rsidRDefault="00A5687B" w:rsidP="00E27D0E">
            <w:pPr>
              <w:pStyle w:val="Bezmezer"/>
            </w:pPr>
            <w:r>
              <w:t>Autor:</w:t>
            </w:r>
          </w:p>
        </w:tc>
        <w:tc>
          <w:tcPr>
            <w:tcW w:w="7152" w:type="dxa"/>
          </w:tcPr>
          <w:p w14:paraId="4AF7DA2F" w14:textId="77777777" w:rsidR="00A5687B" w:rsidRDefault="00A5687B" w:rsidP="00E27D0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Přemysl Hřebík </w:t>
            </w:r>
          </w:p>
        </w:tc>
      </w:tr>
    </w:tbl>
    <w:p w14:paraId="6665E2CE" w14:textId="77777777" w:rsidR="00A5687B" w:rsidRPr="00D45765" w:rsidRDefault="00A5687B" w:rsidP="00A5687B">
      <w:pPr>
        <w:spacing w:after="0" w:line="240" w:lineRule="auto"/>
      </w:pPr>
    </w:p>
    <w:p w14:paraId="6DBAD957" w14:textId="77777777" w:rsidR="00A5687B" w:rsidRDefault="00A5687B" w:rsidP="00A5687B">
      <w:pPr>
        <w:spacing w:after="0" w:line="240" w:lineRule="auto"/>
      </w:pPr>
      <w:r>
        <w:br w:type="page"/>
      </w:r>
    </w:p>
    <w:p w14:paraId="3430DD03" w14:textId="77777777" w:rsidR="00A5687B" w:rsidRPr="00703877" w:rsidRDefault="00A5687B" w:rsidP="00A5687B">
      <w:pPr>
        <w:pStyle w:val="Nadpis1"/>
      </w:pPr>
      <w:bookmarkStart w:id="2" w:name="bookmark0"/>
      <w:r w:rsidRPr="00703877">
        <w:rPr>
          <w:rStyle w:val="Nadpis10"/>
          <w:rFonts w:asciiTheme="majorHAnsi" w:eastAsiaTheme="majorEastAsia" w:hAnsiTheme="majorHAnsi" w:cstheme="majorBidi"/>
          <w:color w:val="000000" w:themeColor="text1"/>
          <w:sz w:val="40"/>
          <w:szCs w:val="28"/>
          <w:u w:val="none"/>
        </w:rPr>
        <w:lastRenderedPageBreak/>
        <w:t>Identifikační údaje</w:t>
      </w:r>
      <w:bookmarkEnd w:id="2"/>
    </w:p>
    <w:p w14:paraId="519B800D" w14:textId="77777777" w:rsidR="00A5687B" w:rsidRPr="00703877" w:rsidRDefault="00A5687B" w:rsidP="00A5687B">
      <w:pPr>
        <w:pStyle w:val="Nadpis2"/>
      </w:pPr>
      <w:bookmarkStart w:id="3" w:name="bookmark1"/>
      <w:r w:rsidRPr="00703877">
        <w:t>Název a umístění stavby</w:t>
      </w:r>
      <w:bookmarkEnd w:id="3"/>
    </w:p>
    <w:p w14:paraId="558C42E5" w14:textId="78D6EF35" w:rsidR="00A5687B" w:rsidRPr="00B51042" w:rsidRDefault="00A5687B" w:rsidP="00A5687B">
      <w:r>
        <w:t xml:space="preserve">Název: </w:t>
      </w:r>
      <w:r>
        <w:tab/>
      </w:r>
      <w:r>
        <w:tab/>
      </w:r>
      <w:bookmarkStart w:id="4" w:name="_Hlk90998025"/>
      <w:r w:rsidR="00412F9D" w:rsidRPr="00412F9D">
        <w:t xml:space="preserve">TĚLOCVIČNA </w:t>
      </w:r>
      <w:proofErr w:type="gramStart"/>
      <w:r w:rsidR="00412F9D" w:rsidRPr="00412F9D">
        <w:t>2 – 2</w:t>
      </w:r>
      <w:proofErr w:type="gramEnd"/>
      <w:r w:rsidR="00412F9D" w:rsidRPr="00412F9D">
        <w:t>.ZŠ PREISLEROVA</w:t>
      </w:r>
      <w:bookmarkEnd w:id="4"/>
    </w:p>
    <w:p w14:paraId="00EF32AC" w14:textId="1165564B" w:rsidR="00A5687B" w:rsidRDefault="00A5687B" w:rsidP="00C70073">
      <w:bookmarkStart w:id="5" w:name="bookmark2"/>
      <w:r>
        <w:t xml:space="preserve">Adresa: </w:t>
      </w:r>
      <w:r>
        <w:tab/>
      </w:r>
      <w:r w:rsidR="00412F9D" w:rsidRPr="00412F9D">
        <w:t>Preislerova 1335/80, 266 01, Beroun – Město, parc.č.1182/17; st.2246</w:t>
      </w:r>
    </w:p>
    <w:p w14:paraId="73779E0A" w14:textId="77777777" w:rsidR="00A5687B" w:rsidRPr="00703877" w:rsidRDefault="00A5687B" w:rsidP="00A5687B">
      <w:pPr>
        <w:pStyle w:val="Nadpis2"/>
      </w:pPr>
      <w:r w:rsidRPr="00B51042">
        <w:t>Investor</w:t>
      </w:r>
      <w:bookmarkEnd w:id="5"/>
    </w:p>
    <w:p w14:paraId="4EF6D042" w14:textId="517E9C44" w:rsidR="00A5687B" w:rsidRDefault="00A5687B" w:rsidP="00A5687B">
      <w:r>
        <w:t>I</w:t>
      </w:r>
      <w:r w:rsidRPr="00B51042">
        <w:t>nvestor</w:t>
      </w:r>
      <w:r>
        <w:t xml:space="preserve">: </w:t>
      </w:r>
      <w:r>
        <w:tab/>
      </w:r>
      <w:r w:rsidR="00957606" w:rsidRPr="00957606">
        <w:t xml:space="preserve">Město Beroun  </w:t>
      </w:r>
    </w:p>
    <w:p w14:paraId="6DA04545" w14:textId="49F9B6BA" w:rsidR="00A5687B" w:rsidRPr="00B51042" w:rsidRDefault="00A5687B" w:rsidP="00957606">
      <w:r>
        <w:t xml:space="preserve">Adresa: </w:t>
      </w:r>
      <w:r>
        <w:tab/>
      </w:r>
      <w:r w:rsidR="00957606">
        <w:t>Husovo nám.68, Beroun – Centrum, 266 01</w:t>
      </w:r>
    </w:p>
    <w:p w14:paraId="388E6B57" w14:textId="77777777" w:rsidR="00A5687B" w:rsidRPr="00B51042" w:rsidRDefault="00A5687B" w:rsidP="00A5687B">
      <w:pPr>
        <w:pStyle w:val="Nadpis2"/>
      </w:pPr>
      <w:bookmarkStart w:id="6" w:name="bookmark3"/>
      <w:r w:rsidRPr="00B51042">
        <w:t>Objednatel dokumentace</w:t>
      </w:r>
      <w:bookmarkEnd w:id="6"/>
    </w:p>
    <w:p w14:paraId="4AB8CB70" w14:textId="285849DB" w:rsidR="00A5687B" w:rsidRPr="00B51042" w:rsidRDefault="00A5687B" w:rsidP="00A5687B">
      <w:r>
        <w:t xml:space="preserve">Objednavatel: </w:t>
      </w:r>
      <w:r>
        <w:tab/>
      </w:r>
      <w:r w:rsidR="00957606" w:rsidRPr="00957606">
        <w:t xml:space="preserve">Město Beroun  </w:t>
      </w:r>
    </w:p>
    <w:p w14:paraId="2E615191" w14:textId="77777777" w:rsidR="00A5687B" w:rsidRPr="00B51042" w:rsidRDefault="00A5687B" w:rsidP="00A5687B">
      <w:pPr>
        <w:pStyle w:val="Nadpis2"/>
      </w:pPr>
      <w:bookmarkStart w:id="7" w:name="bookmark5"/>
      <w:r w:rsidRPr="00B51042">
        <w:t>Stupeň projektové dokumentace</w:t>
      </w:r>
      <w:bookmarkEnd w:id="7"/>
    </w:p>
    <w:p w14:paraId="66830542" w14:textId="2D134B81" w:rsidR="00A5687B" w:rsidRDefault="00A5687B" w:rsidP="00A5687B">
      <w:r w:rsidRPr="00B51042">
        <w:t xml:space="preserve">Projektová dokumentace </w:t>
      </w:r>
      <w:r w:rsidR="00BA78FA">
        <w:t xml:space="preserve">pro </w:t>
      </w:r>
      <w:r w:rsidR="00C70073">
        <w:t>územní rozhodnutí</w:t>
      </w:r>
      <w:r w:rsidR="00BA78FA">
        <w:t>.</w:t>
      </w:r>
    </w:p>
    <w:p w14:paraId="6B45FD6D" w14:textId="4DA30A2F" w:rsidR="007105DB" w:rsidRDefault="007105DB" w:rsidP="007105DB">
      <w:pPr>
        <w:pStyle w:val="Nadpis2"/>
      </w:pPr>
      <w:r>
        <w:t>Předmět projektu</w:t>
      </w:r>
    </w:p>
    <w:p w14:paraId="3467264D" w14:textId="6A73F63B" w:rsidR="007105DB" w:rsidRDefault="007105DB" w:rsidP="007105DB">
      <w:pPr>
        <w:spacing w:after="0" w:line="240" w:lineRule="auto"/>
      </w:pPr>
      <w:r>
        <w:t xml:space="preserve">Obsahem PD </w:t>
      </w:r>
      <w:r w:rsidR="005B3D83">
        <w:t xml:space="preserve">je </w:t>
      </w:r>
      <w:r w:rsidR="00E30D00">
        <w:t xml:space="preserve">elektroinstalace </w:t>
      </w:r>
      <w:r w:rsidR="00957606">
        <w:t xml:space="preserve">pro </w:t>
      </w:r>
      <w:r w:rsidR="00684607">
        <w:t>stavbu nové tělocvičny v</w:t>
      </w:r>
      <w:r w:rsidR="00412F9D" w:rsidRPr="00412F9D">
        <w:t xml:space="preserve"> 2.ZŠ PREISLEROVA</w:t>
      </w:r>
      <w:r w:rsidR="00957606">
        <w:t xml:space="preserve">, </w:t>
      </w:r>
      <w:r w:rsidR="00684607" w:rsidRPr="00412F9D">
        <w:t>Preislerova 1335/80</w:t>
      </w:r>
      <w:r w:rsidR="00684607">
        <w:t xml:space="preserve">, </w:t>
      </w:r>
      <w:r w:rsidR="00957606" w:rsidRPr="00957606">
        <w:t>Beroun – Město</w:t>
      </w:r>
      <w:r w:rsidR="00957606">
        <w:t>, 266 01</w:t>
      </w:r>
    </w:p>
    <w:p w14:paraId="4B6DB029" w14:textId="41C0CF91" w:rsidR="00A5687B" w:rsidRPr="00B51042" w:rsidRDefault="00A5687B" w:rsidP="007105DB">
      <w:pPr>
        <w:pStyle w:val="Nadpis2"/>
        <w:numPr>
          <w:ilvl w:val="0"/>
          <w:numId w:val="0"/>
        </w:numPr>
      </w:pPr>
      <w:bookmarkStart w:id="8" w:name="bookmark6"/>
      <w:r w:rsidRPr="00B51042">
        <w:t>Projektové podklady a obsah dokumentace</w:t>
      </w:r>
      <w:bookmarkEnd w:id="8"/>
    </w:p>
    <w:p w14:paraId="36F97662" w14:textId="1B736897" w:rsidR="007105DB" w:rsidRDefault="007105DB" w:rsidP="00BA59FC">
      <w:pPr>
        <w:pStyle w:val="Odstavecseseznamem"/>
        <w:numPr>
          <w:ilvl w:val="0"/>
          <w:numId w:val="24"/>
        </w:numPr>
        <w:spacing w:after="0" w:line="240" w:lineRule="auto"/>
      </w:pPr>
      <w:bookmarkStart w:id="9" w:name="bookmark7"/>
      <w:r>
        <w:t xml:space="preserve">stavební dokumentace v měřítku 1: </w:t>
      </w:r>
      <w:r w:rsidR="00684607">
        <w:t>10</w:t>
      </w:r>
      <w:r>
        <w:t>0 připomínky investora</w:t>
      </w:r>
    </w:p>
    <w:p w14:paraId="1B3F55FC" w14:textId="1AFB0156" w:rsidR="007105DB" w:rsidRDefault="007105DB" w:rsidP="007105DB">
      <w:pPr>
        <w:pStyle w:val="Odstavecseseznamem"/>
        <w:numPr>
          <w:ilvl w:val="0"/>
          <w:numId w:val="25"/>
        </w:numPr>
        <w:spacing w:after="0" w:line="240" w:lineRule="auto"/>
      </w:pPr>
      <w:r>
        <w:t xml:space="preserve">požadavky hlavního inženýra projektu </w:t>
      </w:r>
    </w:p>
    <w:p w14:paraId="0E33D113" w14:textId="42B39C4E" w:rsidR="007105DB" w:rsidRDefault="007105DB" w:rsidP="007105DB">
      <w:pPr>
        <w:pStyle w:val="Odstavecseseznamem"/>
        <w:numPr>
          <w:ilvl w:val="0"/>
          <w:numId w:val="25"/>
        </w:numPr>
        <w:spacing w:after="0" w:line="240" w:lineRule="auto"/>
      </w:pPr>
      <w:r>
        <w:t xml:space="preserve">platné elektrotechnické předpisy a </w:t>
      </w:r>
      <w:r w:rsidR="00522E3E">
        <w:t>normy</w:t>
      </w:r>
    </w:p>
    <w:p w14:paraId="449F0D51" w14:textId="77777777" w:rsidR="00A5687B" w:rsidRPr="00703877" w:rsidRDefault="00A5687B" w:rsidP="00A5687B">
      <w:pPr>
        <w:pStyle w:val="Nadpis1"/>
      </w:pPr>
      <w:r w:rsidRPr="00703877">
        <w:rPr>
          <w:rStyle w:val="Nadpis10"/>
          <w:rFonts w:asciiTheme="majorHAnsi" w:eastAsiaTheme="majorEastAsia" w:hAnsiTheme="majorHAnsi" w:cstheme="majorBidi"/>
          <w:color w:val="000000" w:themeColor="text1"/>
          <w:sz w:val="40"/>
          <w:szCs w:val="28"/>
          <w:u w:val="none"/>
        </w:rPr>
        <w:t>Technické údaje</w:t>
      </w:r>
      <w:bookmarkEnd w:id="9"/>
    </w:p>
    <w:p w14:paraId="24CEB7EA" w14:textId="77777777" w:rsidR="00A5687B" w:rsidRPr="00B51042" w:rsidRDefault="00A5687B" w:rsidP="00A5687B">
      <w:pPr>
        <w:pStyle w:val="Nadpis2"/>
      </w:pPr>
      <w:bookmarkStart w:id="10" w:name="bookmark8"/>
      <w:r w:rsidRPr="00B51042">
        <w:t>Napěťová soustava</w:t>
      </w:r>
      <w:bookmarkEnd w:id="10"/>
    </w:p>
    <w:p w14:paraId="29725D88" w14:textId="39B077AF" w:rsidR="00A5687B" w:rsidRPr="00B51042" w:rsidRDefault="00A5687B" w:rsidP="00A5687B">
      <w:pPr>
        <w:pStyle w:val="Odstavecseseznamem"/>
        <w:numPr>
          <w:ilvl w:val="0"/>
          <w:numId w:val="20"/>
        </w:numPr>
      </w:pPr>
      <w:r w:rsidRPr="00B51042">
        <w:t>před místem rozdělení:</w:t>
      </w:r>
      <w:r w:rsidRPr="00B51042">
        <w:tab/>
        <w:t xml:space="preserve">TN-C, 3+PEN, ~ </w:t>
      </w:r>
      <w:r w:rsidR="00CA56FB" w:rsidRPr="00B51042">
        <w:t>50 Hz</w:t>
      </w:r>
      <w:r w:rsidRPr="00B51042">
        <w:t>, 400/230 V</w:t>
      </w:r>
    </w:p>
    <w:p w14:paraId="237AF5DC" w14:textId="6476C5E5" w:rsidR="00A5687B" w:rsidRDefault="00A5687B" w:rsidP="00A5687B">
      <w:pPr>
        <w:pStyle w:val="Odstavecseseznamem"/>
        <w:numPr>
          <w:ilvl w:val="0"/>
          <w:numId w:val="20"/>
        </w:numPr>
      </w:pPr>
      <w:r w:rsidRPr="00B51042">
        <w:t xml:space="preserve">instalace za místem rozdělení: TN-C-S, 3+N+PE, ~ </w:t>
      </w:r>
      <w:r w:rsidR="00CA56FB" w:rsidRPr="00B51042">
        <w:t>50 Hz</w:t>
      </w:r>
      <w:r w:rsidRPr="00B51042">
        <w:t xml:space="preserve">, 400/230 V </w:t>
      </w:r>
    </w:p>
    <w:p w14:paraId="3F36CF64" w14:textId="4399C121" w:rsidR="00A5687B" w:rsidRPr="00B51042" w:rsidRDefault="00A5687B" w:rsidP="00A5687B">
      <w:pPr>
        <w:pStyle w:val="Odstavecseseznamem"/>
        <w:numPr>
          <w:ilvl w:val="0"/>
          <w:numId w:val="20"/>
        </w:numPr>
      </w:pPr>
      <w:r w:rsidRPr="00B51042">
        <w:t>provozní napětí SLB zařízení</w:t>
      </w:r>
      <w:r w:rsidR="00F81501">
        <w:t xml:space="preserve"> </w:t>
      </w:r>
      <w:r w:rsidR="00B7029E">
        <w:t xml:space="preserve">do </w:t>
      </w:r>
      <w:r w:rsidR="00CA56FB">
        <w:t>24 V</w:t>
      </w:r>
    </w:p>
    <w:p w14:paraId="34BEFA55" w14:textId="77777777" w:rsidR="00A5687B" w:rsidRPr="00B51042" w:rsidRDefault="00A5687B" w:rsidP="00A5687B">
      <w:pPr>
        <w:pStyle w:val="Nadpis2"/>
      </w:pPr>
      <w:bookmarkStart w:id="11" w:name="bookmark9"/>
      <w:r w:rsidRPr="00B51042">
        <w:t>Charakteristika vnějších vlivů</w:t>
      </w:r>
      <w:bookmarkEnd w:id="11"/>
    </w:p>
    <w:p w14:paraId="1D9661E7" w14:textId="0228EAE8" w:rsidR="00A5687B" w:rsidRPr="00B51042" w:rsidRDefault="00A5687B" w:rsidP="00A5687B">
      <w:r w:rsidRPr="00B51042">
        <w:t>Všechny vnitřní prostory jsou považovány za „prostory normální". Ve venkovním prostředí je charakteristika vnějších vlivů AB8.</w:t>
      </w:r>
    </w:p>
    <w:p w14:paraId="2F7484BE" w14:textId="77777777" w:rsidR="00A5687B" w:rsidRPr="00B51042" w:rsidRDefault="00A5687B" w:rsidP="00A5687B">
      <w:pPr>
        <w:pStyle w:val="Nadpis2"/>
      </w:pPr>
      <w:bookmarkStart w:id="12" w:name="bookmark10"/>
      <w:r w:rsidRPr="00B51042">
        <w:lastRenderedPageBreak/>
        <w:t>Ochrana před úrazem el. proudem</w:t>
      </w:r>
      <w:bookmarkEnd w:id="12"/>
    </w:p>
    <w:p w14:paraId="24154657" w14:textId="6B811ECF" w:rsidR="00A5687B" w:rsidRPr="00B51042" w:rsidRDefault="00A5687B" w:rsidP="00A5687B">
      <w:r w:rsidRPr="00B51042">
        <w:t xml:space="preserve">Musí být provedena v souladu s </w:t>
      </w:r>
      <w:r w:rsidR="00522E3E">
        <w:t>normami</w:t>
      </w:r>
      <w:r w:rsidR="00053B29">
        <w:t>.</w:t>
      </w:r>
    </w:p>
    <w:p w14:paraId="5F383EDC" w14:textId="1B35E062" w:rsidR="00A5687B" w:rsidRPr="00B51042" w:rsidRDefault="00A5687B" w:rsidP="00A5687B">
      <w:r w:rsidRPr="00B51042">
        <w:t>Ochrana ZÁKLADNÍ (před nebezpečným dotykem živých částí) - kryty a izolací</w:t>
      </w:r>
      <w:r w:rsidR="00053B29">
        <w:t>.</w:t>
      </w:r>
    </w:p>
    <w:p w14:paraId="0F86A401" w14:textId="640E1783" w:rsidR="007105DB" w:rsidRDefault="00A5687B" w:rsidP="007105DB">
      <w:r w:rsidRPr="00B51042">
        <w:t>Ochrana PŘI PORUŠE (před nebezpečným dotykem neživých částí) - automatickým odpojením od zdroje v síti TN</w:t>
      </w:r>
      <w:r w:rsidR="00053B29">
        <w:t>-</w:t>
      </w:r>
      <w:r w:rsidRPr="00B51042">
        <w:t>S.</w:t>
      </w:r>
    </w:p>
    <w:p w14:paraId="78F0308A" w14:textId="77777777" w:rsidR="00A5687B" w:rsidRPr="00B51042" w:rsidRDefault="00A5687B" w:rsidP="00A5687B">
      <w:pPr>
        <w:pStyle w:val="Nadpis2"/>
      </w:pPr>
      <w:bookmarkStart w:id="13" w:name="bookmark11"/>
      <w:r w:rsidRPr="00B51042">
        <w:t>Ochrana proti zkratu a přetížení</w:t>
      </w:r>
      <w:bookmarkEnd w:id="13"/>
    </w:p>
    <w:p w14:paraId="31830742" w14:textId="1FF44507" w:rsidR="00A5687B" w:rsidRPr="00B51042" w:rsidRDefault="00A5687B" w:rsidP="00A5687B">
      <w:r w:rsidRPr="00B51042">
        <w:t xml:space="preserve">Musí být provedena v souladu s </w:t>
      </w:r>
      <w:r w:rsidR="00522E3E">
        <w:t>normami</w:t>
      </w:r>
      <w:r w:rsidRPr="00B51042">
        <w:t>.</w:t>
      </w:r>
    </w:p>
    <w:p w14:paraId="0ABA42D3" w14:textId="7DFC2709" w:rsidR="00A5687B" w:rsidRDefault="00A5687B" w:rsidP="00A5687B">
      <w:r w:rsidRPr="00B51042">
        <w:t>Elektrická vedení a zařízení jsou chráněna pojistkami a jističi instalovanými v příslušných rozvaděčích. Jistící prvky jsou navrženy tak</w:t>
      </w:r>
      <w:r>
        <w:t>,</w:t>
      </w:r>
      <w:r w:rsidRPr="00B51042">
        <w:t xml:space="preserve"> aby byla zajištěna jejich selektivita.</w:t>
      </w:r>
    </w:p>
    <w:p w14:paraId="26A255F2" w14:textId="77777777" w:rsidR="00A5687B" w:rsidRDefault="00A5687B" w:rsidP="00A5687B">
      <w:pPr>
        <w:pStyle w:val="Nadpis2"/>
      </w:pPr>
      <w:bookmarkStart w:id="14" w:name="bookmark13"/>
      <w:r>
        <w:t>Bilance příkonů</w:t>
      </w:r>
      <w:bookmarkEnd w:id="14"/>
    </w:p>
    <w:p w14:paraId="708CCB83" w14:textId="61AB1B03" w:rsidR="0068439A" w:rsidRDefault="0068439A" w:rsidP="0068439A">
      <w:bookmarkStart w:id="15" w:name="bookmark14"/>
      <w:r>
        <w:t>Elektrická energie bude používána pro osvětlení, zásuvky</w:t>
      </w:r>
      <w:r w:rsidR="000350D2">
        <w:t>.</w:t>
      </w:r>
    </w:p>
    <w:p w14:paraId="64686463" w14:textId="1B1EBD75" w:rsidR="0068439A" w:rsidRPr="00C911BF" w:rsidRDefault="0068439A" w:rsidP="0068439A">
      <w:pPr>
        <w:rPr>
          <w:b/>
        </w:rPr>
      </w:pPr>
      <w:r w:rsidRPr="00C911BF">
        <w:rPr>
          <w:b/>
        </w:rPr>
        <w:t xml:space="preserve">Bilance </w:t>
      </w:r>
      <w:r>
        <w:rPr>
          <w:b/>
        </w:rPr>
        <w:t xml:space="preserve">– </w:t>
      </w:r>
    </w:p>
    <w:tbl>
      <w:tblPr>
        <w:tblStyle w:val="Inexestabulka"/>
        <w:tblW w:w="0" w:type="auto"/>
        <w:tblInd w:w="1655" w:type="dxa"/>
        <w:tblLayout w:type="fixed"/>
        <w:tblLook w:val="0000" w:firstRow="0" w:lastRow="0" w:firstColumn="0" w:lastColumn="0" w:noHBand="0" w:noVBand="0"/>
      </w:tblPr>
      <w:tblGrid>
        <w:gridCol w:w="3149"/>
        <w:gridCol w:w="970"/>
        <w:gridCol w:w="879"/>
        <w:gridCol w:w="850"/>
      </w:tblGrid>
      <w:tr w:rsidR="0068439A" w:rsidRPr="00B51042" w14:paraId="67DA07D0" w14:textId="77777777" w:rsidTr="00010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7"/>
        </w:trPr>
        <w:tc>
          <w:tcPr>
            <w:tcW w:w="3149" w:type="dxa"/>
          </w:tcPr>
          <w:p w14:paraId="13E0174A" w14:textId="38ADF1D6" w:rsidR="0068439A" w:rsidRPr="00B51042" w:rsidRDefault="008D23F2" w:rsidP="000109C7">
            <w:pPr>
              <w:pStyle w:val="Zkladntext5"/>
              <w:shd w:val="clear" w:color="auto" w:fill="auto"/>
              <w:spacing w:before="0" w:after="0" w:line="210" w:lineRule="exact"/>
              <w:ind w:left="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kladntextCalibri105ptTun"/>
                <w:rFonts w:ascii="Arial" w:hAnsi="Arial" w:cs="Arial"/>
                <w:sz w:val="20"/>
                <w:szCs w:val="20"/>
              </w:rPr>
              <w:t>Spotřebič</w:t>
            </w:r>
          </w:p>
        </w:tc>
        <w:tc>
          <w:tcPr>
            <w:tcW w:w="970" w:type="dxa"/>
          </w:tcPr>
          <w:p w14:paraId="16EA25E3" w14:textId="77777777" w:rsidR="0068439A" w:rsidRPr="00B51042" w:rsidRDefault="0068439A" w:rsidP="000109C7">
            <w:pPr>
              <w:pStyle w:val="Zkladntext5"/>
              <w:shd w:val="clear" w:color="auto" w:fill="auto"/>
              <w:spacing w:before="0" w:after="0" w:line="210" w:lineRule="exact"/>
              <w:ind w:left="6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1042">
              <w:rPr>
                <w:rStyle w:val="ZkladntextCalibri105ptTun"/>
                <w:rFonts w:ascii="Arial" w:hAnsi="Arial" w:cs="Arial"/>
                <w:sz w:val="20"/>
                <w:szCs w:val="20"/>
              </w:rPr>
              <w:t>P</w:t>
            </w:r>
            <w:r>
              <w:rPr>
                <w:rStyle w:val="ZkladntextCalibri105ptTun"/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B51042">
              <w:rPr>
                <w:rStyle w:val="ZkladntextCalibri105ptTun"/>
                <w:rFonts w:ascii="Arial" w:hAnsi="Arial" w:cs="Arial"/>
                <w:sz w:val="20"/>
                <w:szCs w:val="20"/>
              </w:rPr>
              <w:t>[kW]</w:t>
            </w:r>
          </w:p>
        </w:tc>
        <w:tc>
          <w:tcPr>
            <w:tcW w:w="879" w:type="dxa"/>
          </w:tcPr>
          <w:p w14:paraId="2FBC2B31" w14:textId="7D7F4E28" w:rsidR="0068439A" w:rsidRPr="00B51042" w:rsidRDefault="0068439A" w:rsidP="00A70BC5">
            <w:pPr>
              <w:pStyle w:val="Zkladntext5"/>
              <w:shd w:val="clear" w:color="auto" w:fill="auto"/>
              <w:spacing w:before="0" w:after="0" w:line="210" w:lineRule="exact"/>
              <w:ind w:left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1042">
              <w:rPr>
                <w:rStyle w:val="ZkladntextCalibri105ptTun"/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50" w:type="dxa"/>
          </w:tcPr>
          <w:p w14:paraId="60D1B357" w14:textId="77777777" w:rsidR="0068439A" w:rsidRPr="00B51042" w:rsidRDefault="0068439A" w:rsidP="000109C7">
            <w:pPr>
              <w:pStyle w:val="Zkladntext5"/>
              <w:shd w:val="clear" w:color="auto" w:fill="auto"/>
              <w:spacing w:before="0" w:after="0" w:line="210" w:lineRule="exact"/>
              <w:ind w:left="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042">
              <w:rPr>
                <w:rStyle w:val="ZkladntextCalibri105ptTun"/>
                <w:rFonts w:ascii="Arial" w:hAnsi="Arial" w:cs="Arial"/>
                <w:sz w:val="20"/>
                <w:szCs w:val="20"/>
              </w:rPr>
              <w:t>P[kW]</w:t>
            </w:r>
          </w:p>
        </w:tc>
      </w:tr>
      <w:tr w:rsidR="0068439A" w:rsidRPr="00B51042" w14:paraId="32582BDF" w14:textId="77777777" w:rsidTr="000109C7">
        <w:trPr>
          <w:trHeight w:val="306"/>
        </w:trPr>
        <w:tc>
          <w:tcPr>
            <w:tcW w:w="3149" w:type="dxa"/>
          </w:tcPr>
          <w:p w14:paraId="326AB664" w14:textId="12F32ACF" w:rsidR="0068439A" w:rsidRPr="00B51042" w:rsidRDefault="00A70BC5" w:rsidP="000109C7">
            <w:pPr>
              <w:pStyle w:val="Zkladntext5"/>
              <w:shd w:val="clear" w:color="auto" w:fill="auto"/>
              <w:spacing w:before="0" w:after="0" w:line="190" w:lineRule="exact"/>
              <w:ind w:left="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kladntext3"/>
                <w:rFonts w:ascii="Arial" w:hAnsi="Arial" w:cs="Arial"/>
                <w:sz w:val="20"/>
                <w:szCs w:val="20"/>
              </w:rPr>
              <w:t>Osvětlení</w:t>
            </w:r>
          </w:p>
        </w:tc>
        <w:tc>
          <w:tcPr>
            <w:tcW w:w="970" w:type="dxa"/>
          </w:tcPr>
          <w:p w14:paraId="42E3EF86" w14:textId="590491AF" w:rsidR="0068439A" w:rsidRPr="007744E9" w:rsidRDefault="00684607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cs-CZ"/>
              </w:rPr>
              <w:t>2</w:t>
            </w:r>
            <w:r w:rsidR="00A70BC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cs-CZ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cs-CZ"/>
              </w:rPr>
              <w:t>8</w:t>
            </w:r>
          </w:p>
        </w:tc>
        <w:tc>
          <w:tcPr>
            <w:tcW w:w="879" w:type="dxa"/>
          </w:tcPr>
          <w:p w14:paraId="3D68AF50" w14:textId="38E5C71E" w:rsidR="0068439A" w:rsidRPr="00B51042" w:rsidRDefault="00684607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A70BC5">
              <w:rPr>
                <w:rFonts w:ascii="Arial" w:hAnsi="Arial" w:cs="Arial"/>
                <w:sz w:val="20"/>
                <w:szCs w:val="20"/>
              </w:rPr>
              <w:t>,</w:t>
            </w:r>
            <w:r w:rsidR="00DB63B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41A5C69" w14:textId="2E88E556" w:rsidR="0068439A" w:rsidRPr="00B51042" w:rsidRDefault="00684607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kladntext3"/>
                <w:rFonts w:ascii="Arial" w:hAnsi="Arial" w:cs="Arial"/>
                <w:sz w:val="20"/>
                <w:szCs w:val="20"/>
              </w:rPr>
              <w:t>1</w:t>
            </w:r>
            <w:r w:rsidR="00A70BC5">
              <w:rPr>
                <w:rStyle w:val="Zkladntext3"/>
                <w:rFonts w:ascii="Arial" w:hAnsi="Arial" w:cs="Arial"/>
                <w:sz w:val="20"/>
                <w:szCs w:val="20"/>
              </w:rPr>
              <w:t>,</w:t>
            </w:r>
            <w:r>
              <w:rPr>
                <w:rStyle w:val="Zkladntext3"/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8439A" w:rsidRPr="00B51042" w14:paraId="70AD7685" w14:textId="77777777" w:rsidTr="00010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"/>
        </w:trPr>
        <w:tc>
          <w:tcPr>
            <w:tcW w:w="3149" w:type="dxa"/>
          </w:tcPr>
          <w:p w14:paraId="7B97CA12" w14:textId="3CAF6C49" w:rsidR="0068439A" w:rsidRPr="00B51042" w:rsidRDefault="000350D2" w:rsidP="000109C7">
            <w:pPr>
              <w:pStyle w:val="Zkladntext5"/>
              <w:shd w:val="clear" w:color="auto" w:fill="auto"/>
              <w:spacing w:before="0" w:after="0" w:line="190" w:lineRule="exact"/>
              <w:ind w:left="6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kladntext3"/>
                <w:rFonts w:ascii="Arial" w:hAnsi="Arial" w:cs="Arial"/>
                <w:sz w:val="20"/>
                <w:szCs w:val="20"/>
              </w:rPr>
              <w:t>Ostatní spotřebiče</w:t>
            </w:r>
          </w:p>
        </w:tc>
        <w:tc>
          <w:tcPr>
            <w:tcW w:w="970" w:type="dxa"/>
          </w:tcPr>
          <w:p w14:paraId="0930205C" w14:textId="53CA95D7" w:rsidR="0068439A" w:rsidRPr="00B51042" w:rsidRDefault="000350D2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kladntext3"/>
              </w:rPr>
              <w:t>2,5</w:t>
            </w:r>
          </w:p>
        </w:tc>
        <w:tc>
          <w:tcPr>
            <w:tcW w:w="879" w:type="dxa"/>
          </w:tcPr>
          <w:p w14:paraId="16561ACD" w14:textId="2E77F3E8" w:rsidR="0068439A" w:rsidRPr="00B51042" w:rsidRDefault="00A70BC5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850" w:type="dxa"/>
          </w:tcPr>
          <w:p w14:paraId="004EF8DA" w14:textId="038FDAA0" w:rsidR="0068439A" w:rsidRPr="00B51042" w:rsidRDefault="00DB63B3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kladntext3"/>
                <w:rFonts w:ascii="Arial" w:hAnsi="Arial" w:cs="Arial"/>
                <w:sz w:val="20"/>
                <w:szCs w:val="20"/>
              </w:rPr>
              <w:t>0</w:t>
            </w:r>
            <w:r w:rsidR="00A70BC5">
              <w:rPr>
                <w:rStyle w:val="Zkladntext3"/>
                <w:rFonts w:ascii="Arial" w:hAnsi="Arial" w:cs="Arial"/>
                <w:sz w:val="20"/>
                <w:szCs w:val="20"/>
              </w:rPr>
              <w:t>,</w:t>
            </w:r>
            <w:r>
              <w:rPr>
                <w:rStyle w:val="Zkladntext3"/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68439A" w:rsidRPr="00B51042" w14:paraId="7F8D731F" w14:textId="77777777" w:rsidTr="000109C7">
        <w:trPr>
          <w:trHeight w:hRule="exact" w:val="298"/>
        </w:trPr>
        <w:tc>
          <w:tcPr>
            <w:tcW w:w="3149" w:type="dxa"/>
          </w:tcPr>
          <w:p w14:paraId="1BB57EF3" w14:textId="77777777" w:rsidR="0068439A" w:rsidRPr="00B51042" w:rsidRDefault="0068439A" w:rsidP="000109C7">
            <w:pPr>
              <w:pStyle w:val="Zkladntext5"/>
              <w:shd w:val="clear" w:color="auto" w:fill="auto"/>
              <w:spacing w:before="0" w:after="0" w:line="190" w:lineRule="exact"/>
              <w:ind w:left="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042">
              <w:rPr>
                <w:rStyle w:val="ZkladntextCalibri105ptTun"/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970" w:type="dxa"/>
          </w:tcPr>
          <w:p w14:paraId="1CD3E28F" w14:textId="59ECF1DC" w:rsidR="0068439A" w:rsidRPr="00B51042" w:rsidRDefault="00DB63B3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70BC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9" w:type="dxa"/>
          </w:tcPr>
          <w:p w14:paraId="07A736DC" w14:textId="77777777" w:rsidR="0068439A" w:rsidRPr="00B51042" w:rsidRDefault="0068439A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F03E29" w14:textId="313F35B7" w:rsidR="0068439A" w:rsidRPr="006578B3" w:rsidRDefault="00C67363" w:rsidP="000109C7">
            <w:pPr>
              <w:pStyle w:val="Zkladntext5"/>
              <w:shd w:val="clear" w:color="auto" w:fill="auto"/>
              <w:spacing w:before="0" w:after="0" w:line="190" w:lineRule="exact"/>
              <w:ind w:right="4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cs-CZ"/>
              </w:rPr>
            </w:pPr>
            <w:r>
              <w:rPr>
                <w:rStyle w:val="Zkladntext3"/>
                <w:rFonts w:ascii="Arial" w:hAnsi="Arial" w:cs="Arial"/>
                <w:b/>
                <w:sz w:val="20"/>
                <w:szCs w:val="20"/>
              </w:rPr>
              <w:t>1</w:t>
            </w:r>
            <w:r w:rsidR="00A70BC5">
              <w:rPr>
                <w:rStyle w:val="Zkladntext3"/>
                <w:rFonts w:ascii="Arial" w:hAnsi="Arial" w:cs="Arial"/>
                <w:b/>
                <w:sz w:val="20"/>
                <w:szCs w:val="20"/>
              </w:rPr>
              <w:t>,</w:t>
            </w:r>
            <w:r w:rsidR="00684607">
              <w:rPr>
                <w:rStyle w:val="Zkladntext3"/>
                <w:rFonts w:ascii="Arial" w:hAnsi="Arial" w:cs="Arial"/>
                <w:b/>
                <w:sz w:val="20"/>
                <w:szCs w:val="20"/>
              </w:rPr>
              <w:t>87</w:t>
            </w:r>
          </w:p>
        </w:tc>
      </w:tr>
    </w:tbl>
    <w:p w14:paraId="7D0FB7B3" w14:textId="77777777" w:rsidR="00DB63B3" w:rsidRDefault="00DB63B3" w:rsidP="008D23F2">
      <w:bookmarkStart w:id="16" w:name="_Hlk15542667"/>
    </w:p>
    <w:p w14:paraId="05A27DA8" w14:textId="6C569582" w:rsidR="008D23F2" w:rsidRPr="00B51042" w:rsidRDefault="008D23F2" w:rsidP="008D23F2">
      <w:r w:rsidRPr="00B51042">
        <w:t>Předpokláda</w:t>
      </w:r>
      <w:r>
        <w:t xml:space="preserve">ná spotřeba el. energie za rok </w:t>
      </w:r>
      <w:r w:rsidR="00672692">
        <w:t>2 318</w:t>
      </w:r>
      <w:r>
        <w:t xml:space="preserve"> kWh</w:t>
      </w:r>
    </w:p>
    <w:bookmarkEnd w:id="16"/>
    <w:p w14:paraId="075A77B9" w14:textId="77777777" w:rsidR="008D23F2" w:rsidRDefault="008D23F2" w:rsidP="0068439A">
      <w:pPr>
        <w:rPr>
          <w:b/>
        </w:rPr>
      </w:pPr>
    </w:p>
    <w:p w14:paraId="536D02FA" w14:textId="77777777" w:rsidR="008D23F2" w:rsidRDefault="008D23F2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6A896FA7" w14:textId="1C84AE53" w:rsidR="00A5687B" w:rsidRDefault="00A5687B" w:rsidP="00A5687B">
      <w:pPr>
        <w:pStyle w:val="Nadpis2"/>
      </w:pPr>
      <w:r w:rsidRPr="00B51042">
        <w:lastRenderedPageBreak/>
        <w:t>Hodnota hlavního jištění</w:t>
      </w:r>
      <w:bookmarkEnd w:id="15"/>
      <w:r w:rsidR="0078526D">
        <w:t xml:space="preserve"> </w:t>
      </w:r>
      <w:r w:rsidR="00DB63B3">
        <w:t xml:space="preserve">v </w:t>
      </w:r>
      <w:r w:rsidR="00684607">
        <w:t>hlavní</w:t>
      </w:r>
      <w:r w:rsidR="002B2009">
        <w:t xml:space="preserve"> rozvodnici</w:t>
      </w:r>
    </w:p>
    <w:p w14:paraId="17FE651E" w14:textId="4C2C67FF" w:rsidR="0078526D" w:rsidRDefault="00684607" w:rsidP="00DB63B3">
      <w:pPr>
        <w:spacing w:after="0"/>
      </w:pPr>
      <w:r>
        <w:t>Tělocvična 2</w:t>
      </w:r>
      <w:r w:rsidR="00D062DD">
        <w:t xml:space="preserve"> –</w:t>
      </w:r>
      <w:r w:rsidR="00786248">
        <w:t xml:space="preserve"> </w:t>
      </w:r>
      <w:r w:rsidR="00DB63B3">
        <w:tab/>
      </w:r>
      <w:r w:rsidR="00786248">
        <w:t xml:space="preserve">3 x </w:t>
      </w:r>
      <w:r w:rsidR="00E219BA">
        <w:t>2</w:t>
      </w:r>
      <w:r w:rsidR="00D062DD">
        <w:t>0 A</w:t>
      </w:r>
    </w:p>
    <w:p w14:paraId="2F6DA73A" w14:textId="77777777" w:rsidR="00A5687B" w:rsidRPr="007364CD" w:rsidRDefault="00A5687B" w:rsidP="00A5687B">
      <w:pPr>
        <w:pStyle w:val="Nadpis1"/>
      </w:pPr>
      <w:bookmarkStart w:id="17" w:name="bookmark16"/>
      <w:r w:rsidRPr="007364CD">
        <w:rPr>
          <w:rStyle w:val="Nadpis10"/>
          <w:rFonts w:asciiTheme="majorHAnsi" w:eastAsiaTheme="majorEastAsia" w:hAnsiTheme="majorHAnsi" w:cstheme="majorBidi"/>
          <w:color w:val="000000" w:themeColor="text1"/>
          <w:sz w:val="40"/>
          <w:szCs w:val="28"/>
          <w:u w:val="none"/>
        </w:rPr>
        <w:t>Elektroinstalace NN</w:t>
      </w:r>
      <w:bookmarkEnd w:id="17"/>
    </w:p>
    <w:p w14:paraId="1CB526DA" w14:textId="4CCE3DF6" w:rsidR="00A5687B" w:rsidRDefault="00A5687B" w:rsidP="00A5687B">
      <w:pPr>
        <w:pStyle w:val="Nadpis2"/>
      </w:pPr>
      <w:bookmarkStart w:id="18" w:name="bookmark17"/>
      <w:r w:rsidRPr="00B51042">
        <w:t>Připojení</w:t>
      </w:r>
      <w:bookmarkEnd w:id="18"/>
    </w:p>
    <w:p w14:paraId="44CDF898" w14:textId="4AD4E2D8" w:rsidR="00786248" w:rsidRPr="00B51042" w:rsidRDefault="00786248" w:rsidP="00786248">
      <w:r>
        <w:t xml:space="preserve">Napájení </w:t>
      </w:r>
      <w:r w:rsidR="00DB63B3">
        <w:t>světelných a zásuvkových obvodů bude provedeno z podružné rozvodnice R</w:t>
      </w:r>
      <w:r w:rsidR="00E219BA">
        <w:t>T2</w:t>
      </w:r>
      <w:r w:rsidR="00DB63B3">
        <w:t>, umístěné v </w:t>
      </w:r>
      <w:r w:rsidR="00E219BA">
        <w:t>zádveří</w:t>
      </w:r>
      <w:r w:rsidR="00DB63B3">
        <w:t>.</w:t>
      </w:r>
      <w:r w:rsidR="00E219BA">
        <w:t xml:space="preserve"> Tato rozvodnice bude napájena z hlavní rozvodnice kabelem CYKY-J 5x10, který bude veden v podhledu chodeb.</w:t>
      </w:r>
    </w:p>
    <w:p w14:paraId="3BF55865" w14:textId="77777777" w:rsidR="00A5687B" w:rsidRPr="00B51042" w:rsidRDefault="00A5687B" w:rsidP="00A5687B">
      <w:pPr>
        <w:pStyle w:val="Nadpis2"/>
      </w:pPr>
      <w:bookmarkStart w:id="19" w:name="bookmark18"/>
      <w:r w:rsidRPr="00B51042">
        <w:t>Hlavní vedení</w:t>
      </w:r>
      <w:bookmarkEnd w:id="19"/>
    </w:p>
    <w:p w14:paraId="3449C7D2" w14:textId="521D1EF3" w:rsidR="00DA026B" w:rsidRDefault="00826994" w:rsidP="00D062DD">
      <w:pPr>
        <w:spacing w:after="0"/>
      </w:pPr>
      <w:bookmarkStart w:id="20" w:name="bookmark19"/>
      <w:r>
        <w:t>Stávající hlavní vedení</w:t>
      </w:r>
      <w:r w:rsidRPr="00826994">
        <w:t xml:space="preserve"> </w:t>
      </w:r>
      <w:r w:rsidR="00D062DD">
        <w:t>beze změn.</w:t>
      </w:r>
    </w:p>
    <w:p w14:paraId="7C9CD61B" w14:textId="5DEE49E0" w:rsidR="00D2174D" w:rsidRPr="00B51042" w:rsidRDefault="00D2174D" w:rsidP="00D2174D">
      <w:pPr>
        <w:pStyle w:val="Nadpis2"/>
      </w:pPr>
      <w:r w:rsidRPr="00B51042">
        <w:t>Kladení vedení</w:t>
      </w:r>
    </w:p>
    <w:p w14:paraId="27CEC72A" w14:textId="64DA9DF1" w:rsidR="00D2174D" w:rsidRPr="00B51042" w:rsidRDefault="00D2174D" w:rsidP="00D2174D">
      <w:r w:rsidRPr="00B51042">
        <w:t xml:space="preserve">Vedení NN budou ukládána do instalačních zón dle </w:t>
      </w:r>
      <w:r w:rsidR="00471B84">
        <w:t>norem</w:t>
      </w:r>
      <w:r w:rsidRPr="00B51042">
        <w:t xml:space="preserve">. Vedení SLB budou ukládána dle </w:t>
      </w:r>
      <w:r w:rsidR="00471B84">
        <w:t>norem</w:t>
      </w:r>
      <w:r w:rsidRPr="00B51042">
        <w:t xml:space="preserve"> </w:t>
      </w:r>
      <w:r w:rsidR="00C67363">
        <w:t>a v PVC trubkách</w:t>
      </w:r>
      <w:r w:rsidRPr="00B51042">
        <w:t xml:space="preserve">. Musí být dodrženy vzdáleností při souběhu a křížení vedení </w:t>
      </w:r>
      <w:proofErr w:type="spellStart"/>
      <w:r w:rsidRPr="00B51042">
        <w:t>nn</w:t>
      </w:r>
      <w:proofErr w:type="spellEnd"/>
      <w:r w:rsidRPr="00B51042">
        <w:t xml:space="preserve"> a </w:t>
      </w:r>
      <w:proofErr w:type="spellStart"/>
      <w:r w:rsidRPr="00B51042">
        <w:t>slb</w:t>
      </w:r>
      <w:proofErr w:type="spellEnd"/>
      <w:r w:rsidRPr="00B51042">
        <w:t>. Vhodným trasováním musí být vyloučen vznik indukčních smyček (ochrana proti přepětí).</w:t>
      </w:r>
    </w:p>
    <w:p w14:paraId="42BB6BC0" w14:textId="13F75ECF" w:rsidR="00D2174D" w:rsidRDefault="00D2174D" w:rsidP="00D2174D">
      <w:pPr>
        <w:pStyle w:val="Nadpis2"/>
      </w:pPr>
      <w:bookmarkStart w:id="21" w:name="bookmark20"/>
      <w:r w:rsidRPr="00B51042">
        <w:t>Rozvaděče</w:t>
      </w:r>
      <w:bookmarkEnd w:id="21"/>
    </w:p>
    <w:p w14:paraId="006D173F" w14:textId="057F38B3" w:rsidR="00DC7164" w:rsidRDefault="00DC7164" w:rsidP="00364531">
      <w:pPr>
        <w:spacing w:after="0"/>
      </w:pPr>
      <w:r>
        <w:t>R</w:t>
      </w:r>
      <w:r w:rsidR="00E219BA">
        <w:t>T2</w:t>
      </w:r>
      <w:r>
        <w:t xml:space="preserve"> – </w:t>
      </w:r>
      <w:r w:rsidR="008B5F57">
        <w:t>minimálně 36 modulů</w:t>
      </w:r>
      <w:r>
        <w:t>.</w:t>
      </w:r>
    </w:p>
    <w:p w14:paraId="64BAC853" w14:textId="77777777" w:rsidR="00D2174D" w:rsidRDefault="00D2174D" w:rsidP="00D2174D">
      <w:pPr>
        <w:pStyle w:val="Nadpis2"/>
      </w:pPr>
      <w:bookmarkStart w:id="22" w:name="bookmark21"/>
      <w:r>
        <w:t>Domácí automatizace</w:t>
      </w:r>
    </w:p>
    <w:p w14:paraId="6CA416B4" w14:textId="27C0B93C" w:rsidR="00D2174D" w:rsidRDefault="00D2174D" w:rsidP="00D2174D">
      <w:r>
        <w:t>Projekt neřeší.</w:t>
      </w:r>
    </w:p>
    <w:p w14:paraId="6E07EF93" w14:textId="77777777" w:rsidR="00D2174D" w:rsidRPr="00B51042" w:rsidRDefault="00D2174D" w:rsidP="00D2174D">
      <w:pPr>
        <w:pStyle w:val="Nadpis2"/>
      </w:pPr>
      <w:r w:rsidRPr="00B51042">
        <w:t>Světelná instalace</w:t>
      </w:r>
      <w:bookmarkEnd w:id="22"/>
    </w:p>
    <w:p w14:paraId="417EC1BB" w14:textId="2983659B" w:rsidR="00D2174D" w:rsidRPr="00097CB1" w:rsidRDefault="00D2174D" w:rsidP="00D2174D">
      <w:pPr>
        <w:rPr>
          <w:color w:val="FF0000"/>
          <w:u w:val="single"/>
        </w:rPr>
      </w:pPr>
      <w:r w:rsidRPr="00097CB1">
        <w:t>Světelné obvody budou provedeny kabely CYKY-J 3 x 1,5 a CYKY-J 5x1,5. Kabeláž bude ukládána ve zdivu do drážek pod omítku a případně nad podhledy</w:t>
      </w:r>
      <w:r w:rsidR="00737D19">
        <w:t xml:space="preserve">, vždy do instalačních zón dle </w:t>
      </w:r>
      <w:r w:rsidR="00471B84">
        <w:t>norem</w:t>
      </w:r>
      <w:r w:rsidRPr="00097CB1">
        <w:t xml:space="preserve">. </w:t>
      </w:r>
      <w:r w:rsidRPr="00DA026B">
        <w:t>Vývod ke každé skupině svítidel bude veden samostatně</w:t>
      </w:r>
      <w:r w:rsidRPr="00DA026B">
        <w:rPr>
          <w:smallCaps/>
        </w:rPr>
        <w:t>.</w:t>
      </w:r>
    </w:p>
    <w:p w14:paraId="36DAE8FE" w14:textId="2579561D" w:rsidR="00D2174D" w:rsidRPr="00097CB1" w:rsidRDefault="00D2174D" w:rsidP="00D2174D">
      <w:pPr>
        <w:rPr>
          <w:color w:val="FF0000"/>
          <w:u w:val="single"/>
        </w:rPr>
      </w:pPr>
      <w:r w:rsidRPr="00B51042">
        <w:t>Vypínače</w:t>
      </w:r>
      <w:r>
        <w:t xml:space="preserve"> – tlačítka</w:t>
      </w:r>
      <w:r w:rsidRPr="00B51042">
        <w:t xml:space="preserve"> budou instalovány vždy u vchodu do místnosti do výše </w:t>
      </w:r>
      <w:r w:rsidR="00D45E8A">
        <w:t>12</w:t>
      </w:r>
      <w:r w:rsidR="00737D19">
        <w:t>0</w:t>
      </w:r>
      <w:r w:rsidRPr="00B51042">
        <w:t xml:space="preserve"> cm nad úrovní podlah. Ke kompletaci budou použity spínače dle výběru investora. Skupiny vypínačů budou sesazeny do společných rámečků.</w:t>
      </w:r>
      <w:r>
        <w:t xml:space="preserve"> </w:t>
      </w:r>
    </w:p>
    <w:p w14:paraId="07292BBF" w14:textId="77777777" w:rsidR="00D2174D" w:rsidRDefault="00D2174D" w:rsidP="00D2174D">
      <w:r w:rsidRPr="00B51042">
        <w:t>Vývody u svítidel budou ukončeny svorkou a svítidla dle výběru investora budou instalována v</w:t>
      </w:r>
      <w:r>
        <w:t> průběhu</w:t>
      </w:r>
      <w:r w:rsidRPr="00B51042">
        <w:t xml:space="preserve"> dokončovacích prací. Venkovní osvětlení bude provedeno svítidly dle výběru investora. Musí však mít krytí odpovídající prostředí.</w:t>
      </w:r>
    </w:p>
    <w:p w14:paraId="62D86102" w14:textId="77777777" w:rsidR="00D2174D" w:rsidRPr="00B51042" w:rsidRDefault="00D2174D" w:rsidP="00D2174D">
      <w:pPr>
        <w:pStyle w:val="Nadpis2"/>
      </w:pPr>
      <w:bookmarkStart w:id="23" w:name="bookmark22"/>
      <w:r w:rsidRPr="00B51042">
        <w:lastRenderedPageBreak/>
        <w:t>Zásuvková instalace</w:t>
      </w:r>
      <w:bookmarkEnd w:id="23"/>
    </w:p>
    <w:p w14:paraId="220E6ECF" w14:textId="6B824DF2" w:rsidR="00D2174D" w:rsidRPr="00B51042" w:rsidRDefault="00D2174D" w:rsidP="00D2174D">
      <w:r w:rsidRPr="00B51042">
        <w:t>Bude provedena kabely CYKY-J 3x2,5. Kabely budou uloženy v</w:t>
      </w:r>
      <w:r w:rsidR="00FA57A4">
        <w:t> </w:t>
      </w:r>
      <w:r w:rsidRPr="00B51042">
        <w:t>drážkách pod omítkou</w:t>
      </w:r>
      <w:r w:rsidR="00737D19">
        <w:t xml:space="preserve">, vždy do instalačních zón dle </w:t>
      </w:r>
      <w:r w:rsidR="00471B84">
        <w:t>norem</w:t>
      </w:r>
      <w:r w:rsidR="00737D19" w:rsidRPr="00097CB1">
        <w:t>.</w:t>
      </w:r>
      <w:r w:rsidRPr="00B51042">
        <w:t xml:space="preserve"> Zásuvky budou instalovány </w:t>
      </w:r>
      <w:r w:rsidR="00D45E8A">
        <w:t>1</w:t>
      </w:r>
      <w:r w:rsidRPr="00B51042">
        <w:t>2</w:t>
      </w:r>
      <w:r w:rsidR="005D31CB">
        <w:t>0</w:t>
      </w:r>
      <w:r w:rsidRPr="00B51042">
        <w:t xml:space="preserve"> cm nad úrovní podlah. Mohou být instalovány ve společných rámečcích s ostatními přístroji. Ke kompletaci budou použity přístroje dle výběru investora.</w:t>
      </w:r>
    </w:p>
    <w:p w14:paraId="1EBDAFF3" w14:textId="0EAF3032" w:rsidR="00D2174D" w:rsidRDefault="00D2174D" w:rsidP="00D2174D">
      <w:r w:rsidRPr="00B51042">
        <w:t>Zásuvky pro všeobecné použití budou připojeny přes proudový chránič s chybovým proudem 30 mA</w:t>
      </w:r>
      <w:r w:rsidR="005D31CB">
        <w:t xml:space="preserve">. </w:t>
      </w:r>
    </w:p>
    <w:p w14:paraId="6E13D252" w14:textId="77777777" w:rsidR="00D2174D" w:rsidRPr="00B51042" w:rsidRDefault="00D2174D" w:rsidP="00D2174D">
      <w:pPr>
        <w:pStyle w:val="Nadpis2"/>
      </w:pPr>
      <w:bookmarkStart w:id="24" w:name="bookmark23"/>
      <w:r w:rsidRPr="00B51042">
        <w:t>VZT zařízení</w:t>
      </w:r>
      <w:bookmarkEnd w:id="24"/>
    </w:p>
    <w:p w14:paraId="4E7D7E8C" w14:textId="01E45D9A" w:rsidR="00F55E3F" w:rsidRDefault="00D45E8A" w:rsidP="00D2174D">
      <w:r>
        <w:t>Neuvažuje se.</w:t>
      </w:r>
    </w:p>
    <w:p w14:paraId="1925C9EA" w14:textId="77777777" w:rsidR="00D2174D" w:rsidRPr="00B51042" w:rsidRDefault="00D2174D" w:rsidP="00D2174D">
      <w:pPr>
        <w:pStyle w:val="Nadpis2"/>
      </w:pPr>
      <w:bookmarkStart w:id="25" w:name="bookmark24"/>
      <w:r w:rsidRPr="00B51042">
        <w:t>Vytápění a ohřev TUV</w:t>
      </w:r>
      <w:bookmarkEnd w:id="25"/>
    </w:p>
    <w:p w14:paraId="59BFE2F5" w14:textId="718088FD" w:rsidR="00D2174D" w:rsidRDefault="00BE4316" w:rsidP="00D2174D">
      <w:bookmarkStart w:id="26" w:name="bookmark28"/>
      <w:r>
        <w:t>Samostatný projekt</w:t>
      </w:r>
    </w:p>
    <w:p w14:paraId="3172BFC0" w14:textId="77777777" w:rsidR="00D2174D" w:rsidRPr="00B51042" w:rsidRDefault="00D2174D" w:rsidP="00D2174D">
      <w:pPr>
        <w:pStyle w:val="Nadpis2"/>
      </w:pPr>
      <w:r w:rsidRPr="00B51042">
        <w:t>Ochrana proti přepětí</w:t>
      </w:r>
      <w:bookmarkEnd w:id="26"/>
    </w:p>
    <w:p w14:paraId="1A32EE10" w14:textId="4F04C9A5" w:rsidR="00D2174D" w:rsidRPr="00B51042" w:rsidRDefault="00D2174D" w:rsidP="00D2174D">
      <w:r w:rsidRPr="00B51042">
        <w:t xml:space="preserve">Ochrana proti přepětí je navržena dle souboru </w:t>
      </w:r>
      <w:r w:rsidR="00522E3E">
        <w:t>norem</w:t>
      </w:r>
      <w:r w:rsidRPr="00B51042">
        <w:t xml:space="preserve"> přepěťová ochranná zařízení. Bude realizována jako ochrana vícestupňová.</w:t>
      </w:r>
    </w:p>
    <w:p w14:paraId="2EE38FF7" w14:textId="1A345EB6" w:rsidR="00D2174D" w:rsidRPr="00B51042" w:rsidRDefault="00D2174D" w:rsidP="00D2174D">
      <w:r>
        <w:t>V</w:t>
      </w:r>
      <w:r w:rsidRPr="00B51042">
        <w:t xml:space="preserve"> rozvaděči R</w:t>
      </w:r>
      <w:r w:rsidR="00F55E3F">
        <w:t>B</w:t>
      </w:r>
      <w:r w:rsidRPr="00B51042">
        <w:t xml:space="preserve"> bude instalován kombinovaný svodič bleskových proudů třídy T1+T2. Třetí stupeň, třídy T3, bude řešen použitím adaptérů s přepěťovou ochranou do zásuvek využívaných pro napájení audio-video a PC techniky.</w:t>
      </w:r>
    </w:p>
    <w:p w14:paraId="6B16BA63" w14:textId="77777777" w:rsidR="00D2174D" w:rsidRPr="00B51042" w:rsidRDefault="00D2174D" w:rsidP="00D2174D">
      <w:pPr>
        <w:pStyle w:val="Nadpis2"/>
      </w:pPr>
      <w:bookmarkStart w:id="27" w:name="bookmark29"/>
      <w:r w:rsidRPr="00B51042">
        <w:t>Uzemnění a pospojení</w:t>
      </w:r>
      <w:bookmarkEnd w:id="27"/>
    </w:p>
    <w:p w14:paraId="30B0622D" w14:textId="77777777" w:rsidR="00D2174D" w:rsidRPr="00B51042" w:rsidRDefault="00D2174D" w:rsidP="00D2174D">
      <w:bookmarkStart w:id="28" w:name="bookmark30"/>
      <w:r w:rsidRPr="00B51042">
        <w:t>Na ochranu uzemnění před bludnými proudy nebo zvýšenou agresivitou prostředí nebyl vznesen požadavek. Případné požadavky plynoucí z geologického průzkumu budou zapracovány v dalším stupni PD.</w:t>
      </w:r>
    </w:p>
    <w:p w14:paraId="35F9F449" w14:textId="20A9F355" w:rsidR="00436092" w:rsidRDefault="00436092" w:rsidP="00436092">
      <w:pPr>
        <w:pStyle w:val="Nadpis1"/>
      </w:pPr>
      <w:bookmarkStart w:id="29" w:name="bookmark31"/>
      <w:bookmarkEnd w:id="28"/>
      <w:r>
        <w:t>Ochrana proti přepětí – LPS</w:t>
      </w:r>
    </w:p>
    <w:p w14:paraId="411D5412" w14:textId="59D98B84" w:rsidR="00D45E8A" w:rsidRDefault="00D45E8A" w:rsidP="00B04533">
      <w:pPr>
        <w:pStyle w:val="Nadpis2"/>
      </w:pPr>
      <w:r>
        <w:t>Úvod</w:t>
      </w:r>
    </w:p>
    <w:p w14:paraId="09CA3866" w14:textId="6FAD4A68" w:rsidR="00D45E8A" w:rsidRPr="00D45E8A" w:rsidRDefault="00D45E8A" w:rsidP="00D45E8A">
      <w:r>
        <w:t>Stávající ochrana před účinky atmosférické ochrany nebude dotčena. Platí stávající provedení. Po dokončení stavby bude provedena i revize příslušných svodů.</w:t>
      </w:r>
    </w:p>
    <w:p w14:paraId="13A1083B" w14:textId="30E7A122" w:rsidR="00B04533" w:rsidRPr="00B51042" w:rsidRDefault="00B04533" w:rsidP="00B04533">
      <w:pPr>
        <w:pStyle w:val="Nadpis2"/>
      </w:pPr>
      <w:r>
        <w:t>Všeobecné údaje</w:t>
      </w:r>
    </w:p>
    <w:p w14:paraId="23C58B6A" w14:textId="30F2EBEC" w:rsidR="00B04533" w:rsidRPr="00B51042" w:rsidRDefault="00B04533" w:rsidP="00B04533">
      <w:r w:rsidRPr="00B51042">
        <w:t xml:space="preserve">Bude realizována dle principů souboru </w:t>
      </w:r>
      <w:r w:rsidR="00522E3E">
        <w:t>norem</w:t>
      </w:r>
      <w:r w:rsidRPr="00B51042">
        <w:t xml:space="preserve"> přepěťová ochranná zařízení. Vnější ochrana hromosvodem (LPS), vnitřní ochrana instalací přepěťových ochran (SPD) na rozhraní zón ochrany před bleskem (LPZ).</w:t>
      </w:r>
      <w:r>
        <w:t xml:space="preserve"> </w:t>
      </w:r>
      <w:r w:rsidRPr="004734AE">
        <w:t>Bude realizována jako ochrana vícestupňová.</w:t>
      </w:r>
    </w:p>
    <w:p w14:paraId="6C821C06" w14:textId="77777777" w:rsidR="00B04533" w:rsidRDefault="00B04533" w:rsidP="00B04533">
      <w:pPr>
        <w:pStyle w:val="Nadpis2"/>
      </w:pPr>
      <w:r>
        <w:lastRenderedPageBreak/>
        <w:t>Vnitřní ochrana proti přepětí</w:t>
      </w:r>
    </w:p>
    <w:p w14:paraId="567A0D10" w14:textId="1E4B4862" w:rsidR="00B04533" w:rsidRDefault="00B04533" w:rsidP="00B04533">
      <w:r>
        <w:t>V domovním rozvaděči</w:t>
      </w:r>
      <w:r w:rsidRPr="004734AE">
        <w:t xml:space="preserve"> </w:t>
      </w:r>
      <w:r w:rsidR="00376610">
        <w:t xml:space="preserve">a bytových rozvaděčích </w:t>
      </w:r>
      <w:r w:rsidRPr="004734AE">
        <w:t>bud</w:t>
      </w:r>
      <w:r w:rsidR="00376610">
        <w:t>ou</w:t>
      </w:r>
      <w:r w:rsidRPr="004734AE">
        <w:t xml:space="preserve"> instalován kombinov</w:t>
      </w:r>
      <w:r w:rsidR="00376610">
        <w:t>ány</w:t>
      </w:r>
      <w:r w:rsidRPr="004734AE">
        <w:t xml:space="preserve"> svodič</w:t>
      </w:r>
      <w:r w:rsidR="00376610">
        <w:t>e</w:t>
      </w:r>
      <w:r w:rsidRPr="004734AE">
        <w:t xml:space="preserve"> bleskových proudů třídy T1+T2. Třetí stupeň, třídy T3, bude řešen použitím adaptérů s přepěťovou ochranou do zásuvek využívaných pro napájení audio-video a PC techniky</w:t>
      </w:r>
      <w:r w:rsidR="00376610">
        <w:t>.</w:t>
      </w:r>
    </w:p>
    <w:p w14:paraId="2353F475" w14:textId="09D8E8D6" w:rsidR="00B04533" w:rsidRPr="00B51042" w:rsidRDefault="00B04533" w:rsidP="00B04533">
      <w:r>
        <w:t xml:space="preserve">V </w:t>
      </w:r>
      <w:r w:rsidRPr="00B51042">
        <w:t xml:space="preserve">objektu bude provedeno hlavní pospojení a vyrovnání potenciálu podle </w:t>
      </w:r>
      <w:r w:rsidR="00522E3E">
        <w:t>norem</w:t>
      </w:r>
      <w:r w:rsidRPr="00B51042">
        <w:t>.</w:t>
      </w:r>
    </w:p>
    <w:p w14:paraId="66D5F794" w14:textId="77777777" w:rsidR="00B04533" w:rsidRPr="004734AE" w:rsidRDefault="00B04533" w:rsidP="00B04533">
      <w:pPr>
        <w:pStyle w:val="Nadpis2"/>
      </w:pPr>
      <w:r w:rsidRPr="004734AE">
        <w:t>Obecný popis</w:t>
      </w:r>
      <w:r>
        <w:t xml:space="preserve"> instalace bleskosvodu</w:t>
      </w:r>
    </w:p>
    <w:p w14:paraId="3987E91E" w14:textId="77777777" w:rsidR="00B04533" w:rsidRDefault="00B04533" w:rsidP="00B04533">
      <w:pPr>
        <w:pStyle w:val="Bezmezer"/>
      </w:pPr>
      <w:r w:rsidRPr="004734AE">
        <w:t xml:space="preserve">Jímací zařízení bleskosvodu musí být nejvyšším bodem chráněného objektu, musí být dostatečně upevněno a musí odolávat účinkům počasí. Všechny neuzemněné kovové hmoty nacházející se na střeše ve vzdálenosti menší než 1 metr musí být spojeny se svodovým vodičem stejného druhu materiálu. </w:t>
      </w:r>
    </w:p>
    <w:p w14:paraId="2E070382" w14:textId="77777777" w:rsidR="00B04533" w:rsidRPr="004734AE" w:rsidRDefault="00B04533" w:rsidP="00B04533">
      <w:pPr>
        <w:pStyle w:val="Bezmezer"/>
      </w:pPr>
    </w:p>
    <w:p w14:paraId="4ED728D9" w14:textId="616914DC" w:rsidR="00B04533" w:rsidRDefault="00B04533" w:rsidP="00B04533">
      <w:pPr>
        <w:pStyle w:val="Bezmezer"/>
      </w:pPr>
      <w:r w:rsidRPr="004734AE">
        <w:t>Hromosvodové jímací vedení je navrženo drátem AlMgSi 8</w:t>
      </w:r>
      <w:r w:rsidR="00522E3E">
        <w:t xml:space="preserve"> </w:t>
      </w:r>
      <w:r w:rsidRPr="004734AE">
        <w:t xml:space="preserve">mm upevněným do podpěr. </w:t>
      </w:r>
      <w:r>
        <w:t xml:space="preserve">Podpěry </w:t>
      </w:r>
      <w:r w:rsidRPr="004734AE">
        <w:t xml:space="preserve">budou od sebe vzdáleny cca jeden metr a </w:t>
      </w:r>
      <w:r>
        <w:t>připevněny patřičnými příchytkami dle použité střešní krytiny</w:t>
      </w:r>
      <w:r w:rsidRPr="004734AE">
        <w:t>.</w:t>
      </w:r>
      <w:r w:rsidR="00376610">
        <w:t xml:space="preserve"> </w:t>
      </w:r>
      <w:r w:rsidRPr="004734AE">
        <w:t>Na jímací soustavu budou napojeny hromosvodové svody</w:t>
      </w:r>
      <w:r>
        <w:t>.</w:t>
      </w:r>
    </w:p>
    <w:p w14:paraId="2F46F7E8" w14:textId="77777777" w:rsidR="00B04533" w:rsidRDefault="00B04533" w:rsidP="00B04533">
      <w:pPr>
        <w:pStyle w:val="Bezmezer"/>
      </w:pPr>
    </w:p>
    <w:p w14:paraId="50A14869" w14:textId="77777777" w:rsidR="00B04533" w:rsidRDefault="00B04533" w:rsidP="00B04533">
      <w:pPr>
        <w:pStyle w:val="Bezmezer"/>
      </w:pPr>
      <w:r>
        <w:t>Anténní stožár nebude spojen s jímací soustavou, ale bude realizován tzv. oddálený jímač, který musí přesahovat výškově nad tento stožár.</w:t>
      </w:r>
    </w:p>
    <w:p w14:paraId="5663C8C6" w14:textId="77777777" w:rsidR="00B04533" w:rsidRPr="004734AE" w:rsidRDefault="00B04533" w:rsidP="00B04533">
      <w:pPr>
        <w:pStyle w:val="Bezmezer"/>
      </w:pPr>
    </w:p>
    <w:p w14:paraId="4D1A2B98" w14:textId="6D3B20CC" w:rsidR="00B04533" w:rsidRDefault="00B04533" w:rsidP="00B04533">
      <w:pPr>
        <w:pStyle w:val="Bezmezer"/>
      </w:pPr>
      <w:r w:rsidRPr="004734AE">
        <w:t>Svodový vodič AlMgSi 8</w:t>
      </w:r>
      <w:r w:rsidR="008B5F57">
        <w:t xml:space="preserve"> </w:t>
      </w:r>
      <w:r w:rsidRPr="004734AE">
        <w:t>mm</w:t>
      </w:r>
      <w:r>
        <w:t xml:space="preserve"> bude na příchytkách jednak fasádních či na okapových svodech</w:t>
      </w:r>
      <w:r w:rsidRPr="004734AE">
        <w:t xml:space="preserve">, </w:t>
      </w:r>
      <w:r>
        <w:t xml:space="preserve">musí být položen tak </w:t>
      </w:r>
      <w:r w:rsidRPr="004734AE">
        <w:t>aby byl co nejpřímější a vedl co nejkratší cestou k zemnící soustavě. V trase je třeba se vyhýbat ostrým obloukům a prudkým zakřivením. Svodový vodič by se měl vyhýbat křížení se silnoproudým a slaboproudým elektrickým vedením, aby v nich nedocházelo k poruchovým indukovaným napětím. Ve výši cca 0,6 m nad zemí</w:t>
      </w:r>
      <w:r w:rsidR="00376610">
        <w:t xml:space="preserve"> </w:t>
      </w:r>
      <w:r w:rsidRPr="004734AE">
        <w:t xml:space="preserve">(varianta 1, nebo varianta 2 v chodníku cca 0,6m od objektu </w:t>
      </w:r>
      <w:r>
        <w:t>R</w:t>
      </w:r>
      <w:r w:rsidRPr="004734AE">
        <w:t xml:space="preserve">D), bude na svodovém vodiči osazena zkušební svorka. Uzemňovací soustava je tvořena již </w:t>
      </w:r>
      <w:r>
        <w:t>strojeným</w:t>
      </w:r>
      <w:r w:rsidRPr="004734AE">
        <w:t xml:space="preserve"> </w:t>
      </w:r>
      <w:r w:rsidR="00376610">
        <w:t>obvo</w:t>
      </w:r>
      <w:r w:rsidRPr="004734AE">
        <w:t>dovým zemničem.</w:t>
      </w:r>
    </w:p>
    <w:p w14:paraId="000753FE" w14:textId="77777777" w:rsidR="00B04533" w:rsidRPr="004734AE" w:rsidRDefault="00B04533" w:rsidP="00B04533">
      <w:pPr>
        <w:pStyle w:val="Bezmezer"/>
      </w:pPr>
    </w:p>
    <w:p w14:paraId="342DEEB9" w14:textId="73B6A887" w:rsidR="00B04533" w:rsidRPr="004734AE" w:rsidRDefault="00B04533" w:rsidP="00B04533">
      <w:pPr>
        <w:pStyle w:val="Bezmezer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6"/>
        </w:rPr>
      </w:pPr>
      <w:r w:rsidRPr="004734AE">
        <w:t xml:space="preserve">Zemní odpor </w:t>
      </w:r>
      <w:proofErr w:type="spellStart"/>
      <w:r w:rsidRPr="004734AE">
        <w:t>Rz</w:t>
      </w:r>
      <w:proofErr w:type="spellEnd"/>
      <w:r w:rsidRPr="004734AE">
        <w:t xml:space="preserve"> samostatné zemnicí soustavy bleskosvodu </w:t>
      </w:r>
      <w:r>
        <w:t>měl by</w:t>
      </w:r>
      <w:r w:rsidRPr="004734AE">
        <w:t xml:space="preserve"> být </w:t>
      </w:r>
      <w:r>
        <w:t xml:space="preserve">do </w:t>
      </w:r>
      <w:r w:rsidRPr="004734AE">
        <w:t xml:space="preserve">10 ohmů. </w:t>
      </w:r>
    </w:p>
    <w:p w14:paraId="02E0EC66" w14:textId="77777777" w:rsidR="00D2174D" w:rsidRPr="000F2FA8" w:rsidRDefault="00D2174D" w:rsidP="00D2174D">
      <w:pPr>
        <w:pStyle w:val="Nadpis1"/>
      </w:pPr>
      <w:r w:rsidRPr="00961343">
        <w:rPr>
          <w:rStyle w:val="Nadpis10"/>
          <w:rFonts w:asciiTheme="majorHAnsi" w:eastAsiaTheme="majorEastAsia" w:hAnsiTheme="majorHAnsi" w:cstheme="majorBidi"/>
          <w:color w:val="000000" w:themeColor="text1"/>
          <w:sz w:val="40"/>
          <w:szCs w:val="28"/>
          <w:u w:val="none"/>
        </w:rPr>
        <w:t>Slaboproudé rozvody</w:t>
      </w:r>
      <w:bookmarkEnd w:id="29"/>
    </w:p>
    <w:p w14:paraId="09D9C918" w14:textId="6BEC8399" w:rsidR="00D2174D" w:rsidRPr="00B51042" w:rsidRDefault="00D2174D" w:rsidP="00D2174D">
      <w:pPr>
        <w:pStyle w:val="Nadpis2"/>
      </w:pPr>
      <w:bookmarkStart w:id="30" w:name="bookmark32"/>
      <w:r w:rsidRPr="00B51042">
        <w:t xml:space="preserve">Domácí </w:t>
      </w:r>
      <w:bookmarkEnd w:id="30"/>
      <w:r w:rsidR="00376610" w:rsidRPr="00B51042">
        <w:t>telefon</w:t>
      </w:r>
      <w:r w:rsidR="00376610">
        <w:t xml:space="preserve"> – zvonky</w:t>
      </w:r>
    </w:p>
    <w:p w14:paraId="5744587C" w14:textId="19D90C9E" w:rsidR="00D2174D" w:rsidRPr="00B51042" w:rsidRDefault="00D45E8A" w:rsidP="00D2174D">
      <w:bookmarkStart w:id="31" w:name="bookmark33"/>
      <w:r>
        <w:t>Projekt neřeší</w:t>
      </w:r>
      <w:r w:rsidR="006C6087">
        <w:t>, nebyl vznesen požadavek</w:t>
      </w:r>
      <w:r>
        <w:t>.</w:t>
      </w:r>
    </w:p>
    <w:p w14:paraId="42D4E07D" w14:textId="77777777" w:rsidR="00D2174D" w:rsidRPr="00B51042" w:rsidRDefault="00D2174D" w:rsidP="00D2174D">
      <w:r w:rsidRPr="00B51042">
        <w:t>Vlastní zapojení systému musí být provedeno podle doporučených schémat výrobce instalovaného zařízení.</w:t>
      </w:r>
    </w:p>
    <w:p w14:paraId="7BB4E5D0" w14:textId="77777777" w:rsidR="00D2174D" w:rsidRPr="00B51042" w:rsidRDefault="00D2174D" w:rsidP="00D2174D">
      <w:pPr>
        <w:pStyle w:val="Nadpis2"/>
      </w:pPr>
      <w:r w:rsidRPr="00B51042">
        <w:t>Televizní rozvod</w:t>
      </w:r>
      <w:bookmarkEnd w:id="31"/>
    </w:p>
    <w:p w14:paraId="1CA77C15" w14:textId="36C5CC89" w:rsidR="00D2174D" w:rsidRPr="00B51042" w:rsidRDefault="006C6087" w:rsidP="00D2174D">
      <w:bookmarkStart w:id="32" w:name="bookmark34"/>
      <w:r>
        <w:t>Projekt neřeší.</w:t>
      </w:r>
    </w:p>
    <w:p w14:paraId="604FF9EF" w14:textId="77777777" w:rsidR="00D2174D" w:rsidRPr="00B51042" w:rsidRDefault="00D2174D" w:rsidP="00D2174D">
      <w:pPr>
        <w:pStyle w:val="Nadpis2"/>
      </w:pPr>
      <w:r w:rsidRPr="00B51042">
        <w:lastRenderedPageBreak/>
        <w:t>Datový rozvod</w:t>
      </w:r>
      <w:bookmarkEnd w:id="32"/>
    </w:p>
    <w:p w14:paraId="27505BAE" w14:textId="7FFC092F" w:rsidR="00D2174D" w:rsidRPr="00B51042" w:rsidRDefault="006C6087" w:rsidP="00D2174D">
      <w:bookmarkStart w:id="33" w:name="bookmark35"/>
      <w:r>
        <w:t>Projekt neřeší.</w:t>
      </w:r>
    </w:p>
    <w:p w14:paraId="50D9E592" w14:textId="77777777" w:rsidR="00D2174D" w:rsidRPr="00B51042" w:rsidRDefault="00D2174D" w:rsidP="00D2174D">
      <w:pPr>
        <w:pStyle w:val="Nadpis2"/>
      </w:pPr>
      <w:r>
        <w:t>E</w:t>
      </w:r>
      <w:r w:rsidRPr="00B51042">
        <w:t>ZS</w:t>
      </w:r>
      <w:bookmarkEnd w:id="33"/>
    </w:p>
    <w:p w14:paraId="5248F731" w14:textId="6BA9F999" w:rsidR="00D2174D" w:rsidRPr="00B51042" w:rsidRDefault="00DC7164" w:rsidP="00D2174D">
      <w:r>
        <w:t>Neuvažuje se.</w:t>
      </w:r>
    </w:p>
    <w:p w14:paraId="34A25306" w14:textId="77777777" w:rsidR="00D2174D" w:rsidRPr="00B51042" w:rsidRDefault="00D2174D" w:rsidP="00D2174D">
      <w:pPr>
        <w:pStyle w:val="Nadpis2"/>
      </w:pPr>
      <w:bookmarkStart w:id="34" w:name="bookmark36"/>
      <w:r w:rsidRPr="00B51042">
        <w:t>Požární detektory</w:t>
      </w:r>
      <w:bookmarkEnd w:id="34"/>
    </w:p>
    <w:p w14:paraId="4186665B" w14:textId="77777777" w:rsidR="006C6087" w:rsidRPr="00B51042" w:rsidRDefault="006C6087" w:rsidP="006C6087">
      <w:bookmarkStart w:id="35" w:name="bookmark37"/>
      <w:r>
        <w:t>Projekt neřeší, nebyl vznesen požadavek.</w:t>
      </w:r>
    </w:p>
    <w:p w14:paraId="1243711C" w14:textId="77777777" w:rsidR="00D2174D" w:rsidRPr="007364CD" w:rsidRDefault="00D2174D" w:rsidP="00D2174D">
      <w:pPr>
        <w:pStyle w:val="Nadpis1"/>
      </w:pPr>
      <w:r w:rsidRPr="007364CD">
        <w:rPr>
          <w:rStyle w:val="Nadpis10"/>
          <w:rFonts w:asciiTheme="majorHAnsi" w:eastAsiaTheme="majorEastAsia" w:hAnsiTheme="majorHAnsi" w:cstheme="majorBidi"/>
          <w:color w:val="000000" w:themeColor="text1"/>
          <w:sz w:val="40"/>
          <w:szCs w:val="28"/>
          <w:u w:val="none"/>
        </w:rPr>
        <w:t>Závěr</w:t>
      </w:r>
      <w:bookmarkEnd w:id="35"/>
    </w:p>
    <w:p w14:paraId="4057072E" w14:textId="246D3B80" w:rsidR="00D2174D" w:rsidRPr="00B51042" w:rsidRDefault="00D2174D" w:rsidP="00D2174D">
      <w:r w:rsidRPr="00B51042">
        <w:t>Dokumentace řeší elektroinstalaci NN</w:t>
      </w:r>
      <w:r w:rsidR="00E63D53">
        <w:t xml:space="preserve"> – </w:t>
      </w:r>
      <w:r w:rsidR="00E219BA">
        <w:t xml:space="preserve">nová tělocvična, </w:t>
      </w:r>
      <w:r w:rsidR="006C6087">
        <w:t>šatn</w:t>
      </w:r>
      <w:r w:rsidR="00E219BA">
        <w:t>y a zázemí</w:t>
      </w:r>
      <w:r w:rsidR="006C6087">
        <w:t>.</w:t>
      </w:r>
    </w:p>
    <w:p w14:paraId="65BB388A" w14:textId="77777777" w:rsidR="00D2174D" w:rsidRPr="00B51042" w:rsidRDefault="00D2174D" w:rsidP="00D2174D">
      <w:pPr>
        <w:pStyle w:val="Nadpis2"/>
      </w:pPr>
      <w:bookmarkStart w:id="36" w:name="bookmark38"/>
      <w:r w:rsidRPr="00B51042">
        <w:t>Požadavky na dodavatele stavební části a ostatních profesí</w:t>
      </w:r>
      <w:bookmarkEnd w:id="36"/>
    </w:p>
    <w:p w14:paraId="5A74F540" w14:textId="77777777" w:rsidR="00D2174D" w:rsidRPr="00B51042" w:rsidRDefault="00D2174D" w:rsidP="00D2174D">
      <w:r>
        <w:t>P</w:t>
      </w:r>
      <w:r w:rsidRPr="00B51042">
        <w:t>ři montáži musí být koordinována činnost s dodavateli SLB zařízení, dodavateli technologií a speciálních zařízení.</w:t>
      </w:r>
    </w:p>
    <w:p w14:paraId="53F18066" w14:textId="77777777" w:rsidR="00D2174D" w:rsidRPr="00B51042" w:rsidRDefault="00D2174D" w:rsidP="00D2174D">
      <w:r w:rsidRPr="00B51042">
        <w:t>Zapojení použitých zařízení a systémů musí být provedeno podle návodů a doporučených zapojovacích schémat výrobců instalovaných zařízení.</w:t>
      </w:r>
    </w:p>
    <w:p w14:paraId="2DEB44C7" w14:textId="77777777" w:rsidR="00D2174D" w:rsidRPr="00463E97" w:rsidRDefault="00D2174D" w:rsidP="00D2174D">
      <w:pPr>
        <w:pStyle w:val="Nadpis2"/>
      </w:pPr>
      <w:bookmarkStart w:id="37" w:name="bookmark39"/>
      <w:r w:rsidRPr="00B51042">
        <w:t>Bezpečnost</w:t>
      </w:r>
      <w:bookmarkEnd w:id="37"/>
    </w:p>
    <w:p w14:paraId="35BA63F4" w14:textId="05C8F38C" w:rsidR="00D2174D" w:rsidRDefault="00D2174D" w:rsidP="00D2174D">
      <w:r w:rsidRPr="00B51042">
        <w:t xml:space="preserve">Při montáži musí být dodrženy všechny platné předpisy a normy týkající se bezpečnosti a ochrany zdraví při práci. Základní požadavky stanovuje vyhláška ČÚBP č. 48/1982 Sb. Všechny práce na elektrickém zařízení musí provádět pracovníci s odpovídající kvalifikací dle </w:t>
      </w:r>
      <w:r w:rsidR="008B5F57">
        <w:t>NV č. 194/2022 Sb</w:t>
      </w:r>
      <w:r w:rsidRPr="00B51042">
        <w:t>.</w:t>
      </w:r>
    </w:p>
    <w:p w14:paraId="4A99636D" w14:textId="77777777" w:rsidR="00D2174D" w:rsidRDefault="00D2174D" w:rsidP="00D2174D">
      <w:pPr>
        <w:pStyle w:val="Nadpis2"/>
      </w:pPr>
      <w:r>
        <w:t xml:space="preserve">Požární zabezpečení stavby </w:t>
      </w:r>
    </w:p>
    <w:p w14:paraId="798839FD" w14:textId="632C0CE3" w:rsidR="00D2174D" w:rsidRDefault="00D2174D" w:rsidP="00D2174D">
      <w:r>
        <w:t>Při výstavbě, montáži, provozu a užívání stavby nebo zařízení, musí být respektovány platné právní předpisy, vyhlášky a normy k zajištění požární ochrany, které se týkají projektované stavby. Jednotlivé pracovní činnosti jsou prováděné v souladu se zákoníkem práce.  Výčet předpisů pro projektovanou stavbu či zařízení není taxativní – jedná se o hlavní předpisy PO dotčeného oboru činnosti. Jejich seznam doplní o další související předpisy, vyhlášky a nařízení PO pro konkrétní činnosti dodavatel a provozovatel stavby nebo zařízení.</w:t>
      </w:r>
    </w:p>
    <w:p w14:paraId="7A25A69A" w14:textId="77777777" w:rsidR="00D2174D" w:rsidRDefault="00D2174D" w:rsidP="00D2174D">
      <w:r>
        <w:t>Kabely procházející jednotlivými požárními úseky je nutné požárně utěsnit.</w:t>
      </w:r>
    </w:p>
    <w:p w14:paraId="1175605A" w14:textId="77777777" w:rsidR="00D2174D" w:rsidRPr="00E53539" w:rsidRDefault="00D2174D" w:rsidP="00D2174D">
      <w:r>
        <w:t>Základní zákonné normy v oblast požární bezpečnosti – Zákon o požární ochraně 133/1985Sb.</w:t>
      </w:r>
    </w:p>
    <w:p w14:paraId="5EFE20A7" w14:textId="77777777" w:rsidR="00D2174D" w:rsidRPr="00B51042" w:rsidRDefault="00D2174D" w:rsidP="00D2174D">
      <w:pPr>
        <w:pStyle w:val="Nadpis2"/>
      </w:pPr>
      <w:bookmarkStart w:id="38" w:name="bookmark41"/>
      <w:r w:rsidRPr="00B51042">
        <w:lastRenderedPageBreak/>
        <w:t>Certifikace</w:t>
      </w:r>
      <w:bookmarkEnd w:id="38"/>
    </w:p>
    <w:p w14:paraId="56379D34" w14:textId="77777777" w:rsidR="00D2174D" w:rsidRPr="00B51042" w:rsidRDefault="00D2174D" w:rsidP="00D2174D">
      <w:r w:rsidRPr="00B51042">
        <w:t>Všechny výrobky, které podléhají povinnému schvalování dle Zákona č. 22/1997 Sb. o technických požadavcích na výrobky, zejména ve smyslu Nařízení vlády č. 17/2003 Sb., kterým se stanoví technické požadavky na elektrická zařízení nízkého napětí a Nařízení vlády č. 616/2006 Sb., kterým se stanoví technické požadavky na elektromagnetickou kompatibilitu, musí být vybaveny příslušnými schvalovacími a certifikačními protokoly.</w:t>
      </w:r>
    </w:p>
    <w:p w14:paraId="548D9F0E" w14:textId="2E1ABFDF" w:rsidR="00C46598" w:rsidRPr="008B5F57" w:rsidRDefault="00D2174D" w:rsidP="008B5F57">
      <w:pPr>
        <w:spacing w:before="240"/>
      </w:pPr>
      <w:r w:rsidRPr="00B51042">
        <w:t>Provedená elektroinstalace musí být v souladu s</w:t>
      </w:r>
      <w:r w:rsidR="00471B84">
        <w:t> </w:t>
      </w:r>
      <w:r w:rsidRPr="00B51042">
        <w:t>platnými</w:t>
      </w:r>
      <w:r w:rsidR="00471B84">
        <w:t xml:space="preserve"> normami </w:t>
      </w:r>
      <w:r w:rsidRPr="00B51042">
        <w:t>a souvisejícími elektrotechnickými předpisy a podléhá výchozí revizi. Další pravidelné revize musí být prováděny v</w:t>
      </w:r>
      <w:r w:rsidR="00471B84">
        <w:t> </w:t>
      </w:r>
      <w:r w:rsidRPr="00B51042">
        <w:t xml:space="preserve">souladu s platnými </w:t>
      </w:r>
      <w:r w:rsidR="00471B84">
        <w:t>normami</w:t>
      </w:r>
      <w:r w:rsidRPr="00B51042">
        <w:t>.</w:t>
      </w:r>
      <w:bookmarkEnd w:id="20"/>
    </w:p>
    <w:sectPr w:rsidR="00C46598" w:rsidRPr="008B5F57" w:rsidSect="0096520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F1546" w14:textId="77777777" w:rsidR="0002441D" w:rsidRDefault="0002441D" w:rsidP="0010113F">
      <w:pPr>
        <w:spacing w:after="0" w:line="240" w:lineRule="auto"/>
      </w:pPr>
      <w:r>
        <w:separator/>
      </w:r>
    </w:p>
  </w:endnote>
  <w:endnote w:type="continuationSeparator" w:id="0">
    <w:p w14:paraId="79E24AF8" w14:textId="77777777" w:rsidR="0002441D" w:rsidRDefault="0002441D" w:rsidP="0010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707070" w:themeColor="background2"/>
      </w:tblBorders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7369"/>
      <w:gridCol w:w="1701"/>
    </w:tblGrid>
    <w:tr w:rsidR="00B04533" w:rsidRPr="00960FD0" w14:paraId="3E341EB2" w14:textId="77777777" w:rsidTr="00A22974">
      <w:sdt>
        <w:sdtPr>
          <w:rPr>
            <w:color w:val="707070" w:themeColor="background2"/>
          </w:rPr>
          <w:alias w:val="Název"/>
          <w:id w:val="-1720353079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14:paraId="38D1785E" w14:textId="76B25B09" w:rsidR="00B04533" w:rsidRPr="00960FD0" w:rsidRDefault="00B04533" w:rsidP="00A205C2">
              <w:pPr>
                <w:pStyle w:val="Bezmezer"/>
                <w:rPr>
                  <w:color w:val="707070" w:themeColor="background2"/>
                </w:rPr>
              </w:pPr>
              <w:r>
                <w:rPr>
                  <w:color w:val="707070" w:themeColor="background2"/>
                </w:rPr>
                <w:t>TECHNICKÁ ZPRÁVA</w:t>
              </w:r>
            </w:p>
          </w:tc>
        </w:sdtContent>
      </w:sdt>
      <w:tc>
        <w:tcPr>
          <w:tcW w:w="1701" w:type="dxa"/>
          <w:vAlign w:val="center"/>
        </w:tcPr>
        <w:p w14:paraId="57038C8F" w14:textId="55B62224" w:rsidR="00B04533" w:rsidRPr="00960FD0" w:rsidRDefault="00B04533" w:rsidP="00E27D0E">
          <w:pPr>
            <w:pStyle w:val="Bezmezer"/>
            <w:jc w:val="right"/>
            <w:rPr>
              <w:color w:val="707070" w:themeColor="background2"/>
            </w:rPr>
          </w:pPr>
          <w:r w:rsidRPr="00960FD0">
            <w:rPr>
              <w:color w:val="707070" w:themeColor="background2"/>
            </w:rPr>
            <w:t xml:space="preserve">Strana </w:t>
          </w:r>
          <w:r w:rsidRPr="00960FD0">
            <w:rPr>
              <w:b/>
              <w:color w:val="707070" w:themeColor="background2"/>
            </w:rPr>
            <w:fldChar w:fldCharType="begin"/>
          </w:r>
          <w:r w:rsidRPr="00960FD0">
            <w:rPr>
              <w:b/>
              <w:color w:val="707070" w:themeColor="background2"/>
            </w:rPr>
            <w:instrText xml:space="preserve"> PAGE  \* Arabic  \* MERGEFORMAT </w:instrText>
          </w:r>
          <w:r w:rsidRPr="00960FD0">
            <w:rPr>
              <w:b/>
              <w:color w:val="707070" w:themeColor="background2"/>
            </w:rPr>
            <w:fldChar w:fldCharType="separate"/>
          </w:r>
          <w:r>
            <w:rPr>
              <w:b/>
              <w:noProof/>
              <w:color w:val="707070" w:themeColor="background2"/>
            </w:rPr>
            <w:t>10</w:t>
          </w:r>
          <w:r w:rsidRPr="00960FD0">
            <w:rPr>
              <w:b/>
              <w:color w:val="707070" w:themeColor="background2"/>
            </w:rPr>
            <w:fldChar w:fldCharType="end"/>
          </w:r>
          <w:r w:rsidRPr="00960FD0">
            <w:rPr>
              <w:color w:val="707070" w:themeColor="background2"/>
            </w:rPr>
            <w:t xml:space="preserve"> z </w:t>
          </w:r>
          <w:r>
            <w:rPr>
              <w:noProof/>
              <w:color w:val="707070" w:themeColor="background2"/>
            </w:rPr>
            <w:fldChar w:fldCharType="begin"/>
          </w:r>
          <w:r>
            <w:rPr>
              <w:noProof/>
              <w:color w:val="707070" w:themeColor="background2"/>
            </w:rPr>
            <w:instrText xml:space="preserve"> NUMPAGES  \* Arabic  \* MERGEFORMAT </w:instrText>
          </w:r>
          <w:r>
            <w:rPr>
              <w:noProof/>
              <w:color w:val="707070" w:themeColor="background2"/>
            </w:rPr>
            <w:fldChar w:fldCharType="separate"/>
          </w:r>
          <w:r w:rsidRPr="00F04DEF">
            <w:rPr>
              <w:noProof/>
              <w:color w:val="707070" w:themeColor="background2"/>
            </w:rPr>
            <w:t>10</w:t>
          </w:r>
          <w:r>
            <w:rPr>
              <w:noProof/>
              <w:color w:val="707070" w:themeColor="background2"/>
            </w:rPr>
            <w:fldChar w:fldCharType="end"/>
          </w:r>
        </w:p>
      </w:tc>
    </w:tr>
  </w:tbl>
  <w:p w14:paraId="708A56D9" w14:textId="77777777" w:rsidR="00B04533" w:rsidRDefault="00B045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707070" w:themeColor="background2"/>
      </w:tblBorders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4535"/>
      <w:gridCol w:w="4535"/>
    </w:tblGrid>
    <w:tr w:rsidR="00B04533" w:rsidRPr="004301A2" w14:paraId="1999D90E" w14:textId="77777777" w:rsidTr="003C1947">
      <w:tc>
        <w:tcPr>
          <w:tcW w:w="4605" w:type="dxa"/>
          <w:vAlign w:val="center"/>
        </w:tcPr>
        <w:p w14:paraId="110C0218" w14:textId="77777777" w:rsidR="00B04533" w:rsidRPr="004301A2" w:rsidRDefault="00B04533" w:rsidP="00E27D0E">
          <w:pPr>
            <w:pStyle w:val="Bezmezer"/>
            <w:rPr>
              <w:color w:val="707070" w:themeColor="background2"/>
            </w:rPr>
          </w:pPr>
        </w:p>
      </w:tc>
      <w:tc>
        <w:tcPr>
          <w:tcW w:w="4605" w:type="dxa"/>
          <w:vAlign w:val="center"/>
        </w:tcPr>
        <w:p w14:paraId="14B908F8" w14:textId="77777777" w:rsidR="00B04533" w:rsidRPr="004301A2" w:rsidRDefault="00B04533" w:rsidP="00E27D0E">
          <w:pPr>
            <w:pStyle w:val="Bezmezer"/>
            <w:jc w:val="right"/>
            <w:rPr>
              <w:color w:val="707070" w:themeColor="background2"/>
            </w:rPr>
          </w:pPr>
        </w:p>
      </w:tc>
    </w:tr>
  </w:tbl>
  <w:p w14:paraId="3E28A216" w14:textId="77777777" w:rsidR="00B04533" w:rsidRDefault="00B045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87FF3" w14:textId="77777777" w:rsidR="0002441D" w:rsidRDefault="0002441D" w:rsidP="0010113F">
      <w:pPr>
        <w:spacing w:after="0" w:line="240" w:lineRule="auto"/>
      </w:pPr>
      <w:r>
        <w:separator/>
      </w:r>
    </w:p>
  </w:footnote>
  <w:footnote w:type="continuationSeparator" w:id="0">
    <w:p w14:paraId="6A53F7B0" w14:textId="77777777" w:rsidR="0002441D" w:rsidRDefault="0002441D" w:rsidP="0010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707070" w:themeColor="background2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1"/>
      <w:gridCol w:w="7369"/>
    </w:tblGrid>
    <w:tr w:rsidR="00B04533" w:rsidRPr="00086AD9" w14:paraId="4AE89354" w14:textId="77777777" w:rsidTr="00086AD9">
      <w:tc>
        <w:tcPr>
          <w:tcW w:w="1701" w:type="dxa"/>
          <w:vMerge w:val="restart"/>
        </w:tcPr>
        <w:p w14:paraId="0B4D200D" w14:textId="77777777" w:rsidR="00B04533" w:rsidRPr="004301A2" w:rsidRDefault="00B04533" w:rsidP="00E27D0E">
          <w:pPr>
            <w:pStyle w:val="Bezmezer"/>
            <w:rPr>
              <w:color w:val="707070" w:themeColor="background2"/>
            </w:rPr>
          </w:pPr>
          <w:r w:rsidRPr="00086AD9">
            <w:rPr>
              <w:noProof/>
              <w:color w:val="707070" w:themeColor="background2"/>
              <w:lang w:eastAsia="cs-CZ"/>
            </w:rPr>
            <w:drawing>
              <wp:inline distT="0" distB="0" distL="0" distR="0" wp14:anchorId="4BF714D5" wp14:editId="5B51B797">
                <wp:extent cx="693011" cy="319490"/>
                <wp:effectExtent l="0" t="0" r="0" b="4445"/>
                <wp:docPr id="1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nexes_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011" cy="3194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nil"/>
            <w:bottom w:val="single" w:sz="4" w:space="0" w:color="707070" w:themeColor="background2"/>
          </w:tcBorders>
          <w:vAlign w:val="center"/>
        </w:tcPr>
        <w:p w14:paraId="28D33D6F" w14:textId="4C8152CA" w:rsidR="00B04533" w:rsidRPr="00086AD9" w:rsidRDefault="00B04533" w:rsidP="00192833">
          <w:pPr>
            <w:pStyle w:val="Bezmezer"/>
            <w:jc w:val="right"/>
            <w:rPr>
              <w:b/>
              <w:color w:val="707070" w:themeColor="background2"/>
            </w:rPr>
          </w:pPr>
          <w:r w:rsidRPr="00086AD9">
            <w:rPr>
              <w:b/>
              <w:color w:val="707070" w:themeColor="background2"/>
            </w:rPr>
            <w:t>www.</w:t>
          </w:r>
          <w:r>
            <w:rPr>
              <w:b/>
              <w:color w:val="707070" w:themeColor="background2"/>
            </w:rPr>
            <w:t>h-ele</w:t>
          </w:r>
          <w:r w:rsidRPr="00086AD9">
            <w:rPr>
              <w:b/>
              <w:color w:val="707070" w:themeColor="background2"/>
            </w:rPr>
            <w:t xml:space="preserve">.cz </w:t>
          </w:r>
        </w:p>
      </w:tc>
    </w:tr>
    <w:tr w:rsidR="00B04533" w:rsidRPr="00852B89" w14:paraId="166CB52A" w14:textId="77777777" w:rsidTr="00086AD9">
      <w:tc>
        <w:tcPr>
          <w:tcW w:w="1701" w:type="dxa"/>
          <w:vMerge/>
          <w:tcBorders>
            <w:bottom w:val="nil"/>
          </w:tcBorders>
          <w:vAlign w:val="center"/>
        </w:tcPr>
        <w:p w14:paraId="5768ECB5" w14:textId="77777777" w:rsidR="00B04533" w:rsidRDefault="00B04533" w:rsidP="00E27D0E">
          <w:pPr>
            <w:pStyle w:val="Bezmezer"/>
            <w:rPr>
              <w:noProof/>
              <w:color w:val="707070" w:themeColor="background2"/>
              <w:lang w:eastAsia="cs-CZ"/>
            </w:rPr>
          </w:pPr>
        </w:p>
      </w:tc>
      <w:tc>
        <w:tcPr>
          <w:tcW w:w="0" w:type="auto"/>
          <w:tcBorders>
            <w:top w:val="single" w:sz="4" w:space="0" w:color="707070" w:themeColor="background2"/>
            <w:bottom w:val="nil"/>
          </w:tcBorders>
          <w:vAlign w:val="center"/>
        </w:tcPr>
        <w:p w14:paraId="6F4DCADF" w14:textId="77777777" w:rsidR="00B04533" w:rsidRPr="00852B89" w:rsidRDefault="00B04533" w:rsidP="00E27D0E">
          <w:pPr>
            <w:pStyle w:val="Bezmezer"/>
          </w:pPr>
        </w:p>
      </w:tc>
    </w:tr>
  </w:tbl>
  <w:p w14:paraId="636ED250" w14:textId="77777777" w:rsidR="00B04533" w:rsidRDefault="00B045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707070" w:themeColor="background2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8"/>
      <w:gridCol w:w="6632"/>
    </w:tblGrid>
    <w:tr w:rsidR="00B04533" w:rsidRPr="00852B89" w14:paraId="0E521345" w14:textId="77777777" w:rsidTr="00086AD9">
      <w:trPr>
        <w:trHeight w:hRule="exact" w:val="170"/>
      </w:trPr>
      <w:tc>
        <w:tcPr>
          <w:tcW w:w="2438" w:type="dxa"/>
          <w:vMerge w:val="restart"/>
        </w:tcPr>
        <w:p w14:paraId="606070D5" w14:textId="77777777" w:rsidR="00B04533" w:rsidRDefault="00B04533" w:rsidP="003C1947">
          <w:pPr>
            <w:pStyle w:val="Bezmezer"/>
            <w:rPr>
              <w:noProof/>
              <w:color w:val="707070" w:themeColor="background2"/>
              <w:lang w:eastAsia="cs-CZ"/>
            </w:rPr>
          </w:pPr>
          <w:r>
            <w:rPr>
              <w:noProof/>
              <w:color w:val="707070" w:themeColor="background2"/>
              <w:lang w:eastAsia="cs-CZ"/>
            </w:rPr>
            <w:drawing>
              <wp:inline distT="0" distB="0" distL="0" distR="0" wp14:anchorId="1A4B2721" wp14:editId="521BDD2B">
                <wp:extent cx="1047302" cy="482824"/>
                <wp:effectExtent l="0" t="0" r="635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nexes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302" cy="4828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bottom w:val="nil"/>
          </w:tcBorders>
          <w:vAlign w:val="center"/>
        </w:tcPr>
        <w:p w14:paraId="6ED57763" w14:textId="77777777" w:rsidR="00B04533" w:rsidRPr="00852B89" w:rsidRDefault="00B04533" w:rsidP="00852B89">
          <w:pPr>
            <w:pStyle w:val="Bezmezer"/>
          </w:pPr>
        </w:p>
      </w:tc>
    </w:tr>
    <w:tr w:rsidR="00B04533" w:rsidRPr="00086AD9" w14:paraId="30415929" w14:textId="77777777" w:rsidTr="00086AD9">
      <w:tc>
        <w:tcPr>
          <w:tcW w:w="2438" w:type="dxa"/>
          <w:vMerge/>
        </w:tcPr>
        <w:p w14:paraId="7DB9ECBE" w14:textId="77777777" w:rsidR="00B04533" w:rsidRPr="004301A2" w:rsidRDefault="00B04533" w:rsidP="003C1947">
          <w:pPr>
            <w:pStyle w:val="Bezmezer"/>
            <w:rPr>
              <w:color w:val="707070" w:themeColor="background2"/>
            </w:rPr>
          </w:pPr>
        </w:p>
      </w:tc>
      <w:tc>
        <w:tcPr>
          <w:tcW w:w="0" w:type="auto"/>
          <w:tcBorders>
            <w:top w:val="nil"/>
            <w:bottom w:val="single" w:sz="4" w:space="0" w:color="707070" w:themeColor="background2"/>
          </w:tcBorders>
          <w:vAlign w:val="center"/>
        </w:tcPr>
        <w:p w14:paraId="60BC3B71" w14:textId="3285C541" w:rsidR="00B04533" w:rsidRPr="00086AD9" w:rsidRDefault="00B04533" w:rsidP="00192833">
          <w:pPr>
            <w:pStyle w:val="Bezmezer"/>
            <w:jc w:val="right"/>
            <w:rPr>
              <w:color w:val="707070" w:themeColor="background2"/>
            </w:rPr>
          </w:pPr>
          <w:r>
            <w:rPr>
              <w:color w:val="707070" w:themeColor="background2"/>
            </w:rPr>
            <w:t>Dehtínská 1221/9, Praha 5, phrebik</w:t>
          </w:r>
          <w:r w:rsidRPr="00086AD9">
            <w:rPr>
              <w:color w:val="707070" w:themeColor="background2"/>
            </w:rPr>
            <w:t>@</w:t>
          </w:r>
          <w:r>
            <w:rPr>
              <w:color w:val="707070" w:themeColor="background2"/>
            </w:rPr>
            <w:t>volny</w:t>
          </w:r>
          <w:r w:rsidRPr="00086AD9">
            <w:rPr>
              <w:color w:val="707070" w:themeColor="background2"/>
            </w:rPr>
            <w:t xml:space="preserve">.cz, </w:t>
          </w:r>
          <w:r w:rsidRPr="00086AD9">
            <w:rPr>
              <w:b/>
              <w:color w:val="707070" w:themeColor="background2"/>
            </w:rPr>
            <w:t>www.</w:t>
          </w:r>
          <w:r>
            <w:rPr>
              <w:b/>
              <w:color w:val="707070" w:themeColor="background2"/>
            </w:rPr>
            <w:t>h-ele</w:t>
          </w:r>
          <w:r w:rsidRPr="00086AD9">
            <w:rPr>
              <w:b/>
              <w:color w:val="707070" w:themeColor="background2"/>
            </w:rPr>
            <w:t>.cz</w:t>
          </w:r>
          <w:r w:rsidRPr="00086AD9">
            <w:rPr>
              <w:color w:val="707070" w:themeColor="background2"/>
            </w:rPr>
            <w:t xml:space="preserve"> </w:t>
          </w:r>
        </w:p>
      </w:tc>
    </w:tr>
    <w:tr w:rsidR="00B04533" w:rsidRPr="00852B89" w14:paraId="34648D15" w14:textId="77777777" w:rsidTr="00086AD9">
      <w:tc>
        <w:tcPr>
          <w:tcW w:w="2438" w:type="dxa"/>
          <w:vMerge/>
          <w:tcBorders>
            <w:bottom w:val="nil"/>
          </w:tcBorders>
          <w:vAlign w:val="center"/>
        </w:tcPr>
        <w:p w14:paraId="56063E14" w14:textId="77777777" w:rsidR="00B04533" w:rsidRDefault="00B04533" w:rsidP="00E27D0E">
          <w:pPr>
            <w:pStyle w:val="Bezmezer"/>
            <w:rPr>
              <w:noProof/>
              <w:color w:val="707070" w:themeColor="background2"/>
              <w:lang w:eastAsia="cs-CZ"/>
            </w:rPr>
          </w:pPr>
        </w:p>
      </w:tc>
      <w:tc>
        <w:tcPr>
          <w:tcW w:w="0" w:type="auto"/>
          <w:tcBorders>
            <w:top w:val="single" w:sz="4" w:space="0" w:color="707070" w:themeColor="background2"/>
            <w:bottom w:val="nil"/>
          </w:tcBorders>
          <w:vAlign w:val="center"/>
        </w:tcPr>
        <w:p w14:paraId="48886A58" w14:textId="77777777" w:rsidR="00B04533" w:rsidRPr="00852B89" w:rsidRDefault="00B04533" w:rsidP="00852B89">
          <w:pPr>
            <w:pStyle w:val="Bezmezer"/>
          </w:pPr>
        </w:p>
      </w:tc>
    </w:tr>
  </w:tbl>
  <w:p w14:paraId="108533AD" w14:textId="77777777" w:rsidR="00B04533" w:rsidRDefault="00B045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D5A8F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9938F5"/>
    <w:multiLevelType w:val="hybridMultilevel"/>
    <w:tmpl w:val="C288578A"/>
    <w:lvl w:ilvl="0" w:tplc="99362E90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E140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E6E1D"/>
    <w:multiLevelType w:val="multilevel"/>
    <w:tmpl w:val="34224F1E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cs-CZ"/>
      </w:rPr>
    </w:lvl>
    <w:lvl w:ilvl="1">
      <w:start w:val="1"/>
      <w:numFmt w:val="decimal"/>
      <w:lvlText w:val="%1.%2.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F97DE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EB8777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4042EF"/>
    <w:multiLevelType w:val="hybridMultilevel"/>
    <w:tmpl w:val="D3D2A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70599"/>
    <w:multiLevelType w:val="hybridMultilevel"/>
    <w:tmpl w:val="EE222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A453B"/>
    <w:multiLevelType w:val="hybridMultilevel"/>
    <w:tmpl w:val="3EBAD3A6"/>
    <w:lvl w:ilvl="0" w:tplc="831AEDAA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C5D75"/>
    <w:multiLevelType w:val="hybridMultilevel"/>
    <w:tmpl w:val="555AB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E2AB1"/>
    <w:multiLevelType w:val="hybridMultilevel"/>
    <w:tmpl w:val="1B862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72F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93F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EF5E7B"/>
    <w:multiLevelType w:val="multilevel"/>
    <w:tmpl w:val="9F96CE6A"/>
    <w:lvl w:ilvl="0">
      <w:start w:val="1"/>
      <w:numFmt w:val="bullet"/>
      <w:lvlText w:val="V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51248A"/>
    <w:multiLevelType w:val="hybridMultilevel"/>
    <w:tmpl w:val="1F624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11B30"/>
    <w:multiLevelType w:val="hybridMultilevel"/>
    <w:tmpl w:val="B248EEB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F3E89"/>
    <w:multiLevelType w:val="hybridMultilevel"/>
    <w:tmpl w:val="CDF23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39582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87821388">
    <w:abstractNumId w:val="17"/>
  </w:num>
  <w:num w:numId="2" w16cid:durableId="1090463502">
    <w:abstractNumId w:val="17"/>
  </w:num>
  <w:num w:numId="3" w16cid:durableId="79060404">
    <w:abstractNumId w:val="17"/>
  </w:num>
  <w:num w:numId="4" w16cid:durableId="1383484125">
    <w:abstractNumId w:val="17"/>
  </w:num>
  <w:num w:numId="5" w16cid:durableId="450173030">
    <w:abstractNumId w:val="17"/>
  </w:num>
  <w:num w:numId="6" w16cid:durableId="351498249">
    <w:abstractNumId w:val="17"/>
  </w:num>
  <w:num w:numId="7" w16cid:durableId="1271160852">
    <w:abstractNumId w:val="17"/>
  </w:num>
  <w:num w:numId="8" w16cid:durableId="250429580">
    <w:abstractNumId w:val="17"/>
  </w:num>
  <w:num w:numId="9" w16cid:durableId="864288938">
    <w:abstractNumId w:val="17"/>
  </w:num>
  <w:num w:numId="10" w16cid:durableId="372655558">
    <w:abstractNumId w:val="10"/>
  </w:num>
  <w:num w:numId="11" w16cid:durableId="142940164">
    <w:abstractNumId w:val="2"/>
  </w:num>
  <w:num w:numId="12" w16cid:durableId="1385522717">
    <w:abstractNumId w:val="5"/>
  </w:num>
  <w:num w:numId="13" w16cid:durableId="312178638">
    <w:abstractNumId w:val="0"/>
  </w:num>
  <w:num w:numId="14" w16cid:durableId="1945262708">
    <w:abstractNumId w:val="3"/>
  </w:num>
  <w:num w:numId="15" w16cid:durableId="2101830793">
    <w:abstractNumId w:val="13"/>
  </w:num>
  <w:num w:numId="16" w16cid:durableId="610472268">
    <w:abstractNumId w:val="11"/>
  </w:num>
  <w:num w:numId="17" w16cid:durableId="1987933776">
    <w:abstractNumId w:val="12"/>
  </w:num>
  <w:num w:numId="18" w16cid:durableId="1938784152">
    <w:abstractNumId w:val="4"/>
  </w:num>
  <w:num w:numId="19" w16cid:durableId="663318189">
    <w:abstractNumId w:val="4"/>
  </w:num>
  <w:num w:numId="20" w16cid:durableId="382413171">
    <w:abstractNumId w:val="16"/>
  </w:num>
  <w:num w:numId="21" w16cid:durableId="1296831859">
    <w:abstractNumId w:val="1"/>
  </w:num>
  <w:num w:numId="22" w16cid:durableId="2007592983">
    <w:abstractNumId w:val="8"/>
  </w:num>
  <w:num w:numId="23" w16cid:durableId="650915088">
    <w:abstractNumId w:val="7"/>
  </w:num>
  <w:num w:numId="24" w16cid:durableId="822939408">
    <w:abstractNumId w:val="14"/>
  </w:num>
  <w:num w:numId="25" w16cid:durableId="1822228873">
    <w:abstractNumId w:val="6"/>
  </w:num>
  <w:num w:numId="26" w16cid:durableId="1671636972">
    <w:abstractNumId w:val="15"/>
  </w:num>
  <w:num w:numId="27" w16cid:durableId="1772895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7"/>
    <w:rsid w:val="000009E2"/>
    <w:rsid w:val="000042E4"/>
    <w:rsid w:val="00010386"/>
    <w:rsid w:val="00012F67"/>
    <w:rsid w:val="00020440"/>
    <w:rsid w:val="00022F7C"/>
    <w:rsid w:val="0002441D"/>
    <w:rsid w:val="000278F6"/>
    <w:rsid w:val="000341FD"/>
    <w:rsid w:val="000350D2"/>
    <w:rsid w:val="000459CC"/>
    <w:rsid w:val="00053B29"/>
    <w:rsid w:val="00054599"/>
    <w:rsid w:val="00055834"/>
    <w:rsid w:val="00057706"/>
    <w:rsid w:val="000637A2"/>
    <w:rsid w:val="00075AF1"/>
    <w:rsid w:val="00075CD4"/>
    <w:rsid w:val="00086AD9"/>
    <w:rsid w:val="00087DB1"/>
    <w:rsid w:val="000940B8"/>
    <w:rsid w:val="00097CB1"/>
    <w:rsid w:val="000A12BB"/>
    <w:rsid w:val="000B6AFD"/>
    <w:rsid w:val="000C15C5"/>
    <w:rsid w:val="000C2DD2"/>
    <w:rsid w:val="000D2E4F"/>
    <w:rsid w:val="000E61F5"/>
    <w:rsid w:val="000F1075"/>
    <w:rsid w:val="000F12F4"/>
    <w:rsid w:val="000F2FA8"/>
    <w:rsid w:val="000F474F"/>
    <w:rsid w:val="000F5CFF"/>
    <w:rsid w:val="000F6A69"/>
    <w:rsid w:val="0010113F"/>
    <w:rsid w:val="00103D0E"/>
    <w:rsid w:val="001063AA"/>
    <w:rsid w:val="001077BA"/>
    <w:rsid w:val="00121914"/>
    <w:rsid w:val="0012529B"/>
    <w:rsid w:val="00127CB2"/>
    <w:rsid w:val="00131A28"/>
    <w:rsid w:val="00132316"/>
    <w:rsid w:val="00133F04"/>
    <w:rsid w:val="00137389"/>
    <w:rsid w:val="00141A39"/>
    <w:rsid w:val="0014325D"/>
    <w:rsid w:val="0015500D"/>
    <w:rsid w:val="00160B4B"/>
    <w:rsid w:val="00172DBA"/>
    <w:rsid w:val="00177939"/>
    <w:rsid w:val="00183E6D"/>
    <w:rsid w:val="00192833"/>
    <w:rsid w:val="001A3D14"/>
    <w:rsid w:val="001A40D9"/>
    <w:rsid w:val="001A5305"/>
    <w:rsid w:val="001A6BD3"/>
    <w:rsid w:val="001B24E9"/>
    <w:rsid w:val="001B4463"/>
    <w:rsid w:val="001C7439"/>
    <w:rsid w:val="001D52FD"/>
    <w:rsid w:val="001E1384"/>
    <w:rsid w:val="001E3359"/>
    <w:rsid w:val="001E4CA8"/>
    <w:rsid w:val="002002C2"/>
    <w:rsid w:val="00205A3C"/>
    <w:rsid w:val="00211692"/>
    <w:rsid w:val="00232262"/>
    <w:rsid w:val="00235DE9"/>
    <w:rsid w:val="002407E6"/>
    <w:rsid w:val="00241BDB"/>
    <w:rsid w:val="00244251"/>
    <w:rsid w:val="002456FE"/>
    <w:rsid w:val="00254357"/>
    <w:rsid w:val="00256878"/>
    <w:rsid w:val="0026295E"/>
    <w:rsid w:val="002743F4"/>
    <w:rsid w:val="00275EDE"/>
    <w:rsid w:val="00275F5D"/>
    <w:rsid w:val="00282EF9"/>
    <w:rsid w:val="002868A9"/>
    <w:rsid w:val="0029056C"/>
    <w:rsid w:val="002914E7"/>
    <w:rsid w:val="00294691"/>
    <w:rsid w:val="0029577C"/>
    <w:rsid w:val="002A05A3"/>
    <w:rsid w:val="002A5198"/>
    <w:rsid w:val="002A54DD"/>
    <w:rsid w:val="002B2009"/>
    <w:rsid w:val="002B2560"/>
    <w:rsid w:val="002B3648"/>
    <w:rsid w:val="002D4AFE"/>
    <w:rsid w:val="002F057C"/>
    <w:rsid w:val="002F42A6"/>
    <w:rsid w:val="0031037A"/>
    <w:rsid w:val="00310390"/>
    <w:rsid w:val="00313F7C"/>
    <w:rsid w:val="00337053"/>
    <w:rsid w:val="00340E47"/>
    <w:rsid w:val="00341186"/>
    <w:rsid w:val="00345AF5"/>
    <w:rsid w:val="00357C2D"/>
    <w:rsid w:val="00360FE5"/>
    <w:rsid w:val="003616FD"/>
    <w:rsid w:val="00364531"/>
    <w:rsid w:val="003725C9"/>
    <w:rsid w:val="00375F6D"/>
    <w:rsid w:val="00376610"/>
    <w:rsid w:val="00394E58"/>
    <w:rsid w:val="003A3335"/>
    <w:rsid w:val="003A4F31"/>
    <w:rsid w:val="003A6A3B"/>
    <w:rsid w:val="003A6BD3"/>
    <w:rsid w:val="003A753B"/>
    <w:rsid w:val="003B0E76"/>
    <w:rsid w:val="003B27D4"/>
    <w:rsid w:val="003B422B"/>
    <w:rsid w:val="003B4802"/>
    <w:rsid w:val="003C1947"/>
    <w:rsid w:val="003C7117"/>
    <w:rsid w:val="003E5C6F"/>
    <w:rsid w:val="003E6766"/>
    <w:rsid w:val="0041238A"/>
    <w:rsid w:val="00412F9D"/>
    <w:rsid w:val="004134CD"/>
    <w:rsid w:val="004149AB"/>
    <w:rsid w:val="0041792D"/>
    <w:rsid w:val="004226A1"/>
    <w:rsid w:val="00426A3F"/>
    <w:rsid w:val="004301A2"/>
    <w:rsid w:val="00436092"/>
    <w:rsid w:val="00437623"/>
    <w:rsid w:val="00445BEC"/>
    <w:rsid w:val="00446D2D"/>
    <w:rsid w:val="004475D6"/>
    <w:rsid w:val="00450872"/>
    <w:rsid w:val="004605ED"/>
    <w:rsid w:val="00461A26"/>
    <w:rsid w:val="00461AA1"/>
    <w:rsid w:val="0046326C"/>
    <w:rsid w:val="00463C54"/>
    <w:rsid w:val="00471B84"/>
    <w:rsid w:val="00474F55"/>
    <w:rsid w:val="00476375"/>
    <w:rsid w:val="0048186E"/>
    <w:rsid w:val="004842A5"/>
    <w:rsid w:val="00485086"/>
    <w:rsid w:val="00490CF0"/>
    <w:rsid w:val="00491412"/>
    <w:rsid w:val="004A2174"/>
    <w:rsid w:val="004A2AF8"/>
    <w:rsid w:val="004A7EB5"/>
    <w:rsid w:val="004C0BE0"/>
    <w:rsid w:val="004C6C72"/>
    <w:rsid w:val="004D79EE"/>
    <w:rsid w:val="004E04EC"/>
    <w:rsid w:val="004E0625"/>
    <w:rsid w:val="004E08C3"/>
    <w:rsid w:val="004F41FC"/>
    <w:rsid w:val="004F46D4"/>
    <w:rsid w:val="004F489E"/>
    <w:rsid w:val="0050254A"/>
    <w:rsid w:val="00504933"/>
    <w:rsid w:val="0050721E"/>
    <w:rsid w:val="00513965"/>
    <w:rsid w:val="005162FB"/>
    <w:rsid w:val="00522E3E"/>
    <w:rsid w:val="005241DC"/>
    <w:rsid w:val="00552505"/>
    <w:rsid w:val="00556ED2"/>
    <w:rsid w:val="005633C4"/>
    <w:rsid w:val="0056652A"/>
    <w:rsid w:val="00570211"/>
    <w:rsid w:val="0057028B"/>
    <w:rsid w:val="00572579"/>
    <w:rsid w:val="00575322"/>
    <w:rsid w:val="00586127"/>
    <w:rsid w:val="005877B2"/>
    <w:rsid w:val="00591FEF"/>
    <w:rsid w:val="00597186"/>
    <w:rsid w:val="005A3CF1"/>
    <w:rsid w:val="005B3D83"/>
    <w:rsid w:val="005C0DFB"/>
    <w:rsid w:val="005D110E"/>
    <w:rsid w:val="005D2BA7"/>
    <w:rsid w:val="005D2BE5"/>
    <w:rsid w:val="005D31CB"/>
    <w:rsid w:val="005D3DE3"/>
    <w:rsid w:val="005E110D"/>
    <w:rsid w:val="005E6956"/>
    <w:rsid w:val="005E7C25"/>
    <w:rsid w:val="0061645B"/>
    <w:rsid w:val="00616851"/>
    <w:rsid w:val="006236B4"/>
    <w:rsid w:val="0062410E"/>
    <w:rsid w:val="00625BD8"/>
    <w:rsid w:val="00650667"/>
    <w:rsid w:val="00651640"/>
    <w:rsid w:val="00660794"/>
    <w:rsid w:val="00664DD3"/>
    <w:rsid w:val="00672692"/>
    <w:rsid w:val="00677CFB"/>
    <w:rsid w:val="0068439A"/>
    <w:rsid w:val="00684607"/>
    <w:rsid w:val="00686B34"/>
    <w:rsid w:val="00687EF5"/>
    <w:rsid w:val="00691265"/>
    <w:rsid w:val="00696545"/>
    <w:rsid w:val="00697877"/>
    <w:rsid w:val="006A0D7B"/>
    <w:rsid w:val="006A2A05"/>
    <w:rsid w:val="006A2B95"/>
    <w:rsid w:val="006B0741"/>
    <w:rsid w:val="006B63EA"/>
    <w:rsid w:val="006B642D"/>
    <w:rsid w:val="006C6087"/>
    <w:rsid w:val="006E2D2E"/>
    <w:rsid w:val="006E44E6"/>
    <w:rsid w:val="006F189E"/>
    <w:rsid w:val="006F1CBA"/>
    <w:rsid w:val="006F2FBF"/>
    <w:rsid w:val="006F6261"/>
    <w:rsid w:val="006F675F"/>
    <w:rsid w:val="006F6A56"/>
    <w:rsid w:val="00703877"/>
    <w:rsid w:val="00704767"/>
    <w:rsid w:val="00705362"/>
    <w:rsid w:val="007105DB"/>
    <w:rsid w:val="00734F4C"/>
    <w:rsid w:val="007364CD"/>
    <w:rsid w:val="00737D19"/>
    <w:rsid w:val="00744EA3"/>
    <w:rsid w:val="00756580"/>
    <w:rsid w:val="0076369D"/>
    <w:rsid w:val="00775409"/>
    <w:rsid w:val="00775AC8"/>
    <w:rsid w:val="0078526D"/>
    <w:rsid w:val="00786248"/>
    <w:rsid w:val="00792D92"/>
    <w:rsid w:val="007A1437"/>
    <w:rsid w:val="007B35E6"/>
    <w:rsid w:val="007B6B8F"/>
    <w:rsid w:val="007C186C"/>
    <w:rsid w:val="007C277D"/>
    <w:rsid w:val="007C5332"/>
    <w:rsid w:val="007D0B57"/>
    <w:rsid w:val="007D3DF9"/>
    <w:rsid w:val="007F3B79"/>
    <w:rsid w:val="007F4314"/>
    <w:rsid w:val="007F451A"/>
    <w:rsid w:val="008028E3"/>
    <w:rsid w:val="00804946"/>
    <w:rsid w:val="0081107D"/>
    <w:rsid w:val="008144C7"/>
    <w:rsid w:val="00826994"/>
    <w:rsid w:val="00827B20"/>
    <w:rsid w:val="00831810"/>
    <w:rsid w:val="0083576C"/>
    <w:rsid w:val="00835811"/>
    <w:rsid w:val="008403E2"/>
    <w:rsid w:val="00841DD9"/>
    <w:rsid w:val="00841E46"/>
    <w:rsid w:val="0084323F"/>
    <w:rsid w:val="00846403"/>
    <w:rsid w:val="00846AB0"/>
    <w:rsid w:val="0085249D"/>
    <w:rsid w:val="00852B89"/>
    <w:rsid w:val="008555E7"/>
    <w:rsid w:val="00857FF2"/>
    <w:rsid w:val="008627B1"/>
    <w:rsid w:val="00863E0B"/>
    <w:rsid w:val="0087213F"/>
    <w:rsid w:val="0087230C"/>
    <w:rsid w:val="008766AF"/>
    <w:rsid w:val="008900AD"/>
    <w:rsid w:val="008927AF"/>
    <w:rsid w:val="008B0E63"/>
    <w:rsid w:val="008B1FEB"/>
    <w:rsid w:val="008B5E29"/>
    <w:rsid w:val="008B5F57"/>
    <w:rsid w:val="008C37C5"/>
    <w:rsid w:val="008C61E9"/>
    <w:rsid w:val="008C7AC6"/>
    <w:rsid w:val="008D23F2"/>
    <w:rsid w:val="008D2CD3"/>
    <w:rsid w:val="008D466C"/>
    <w:rsid w:val="008D6DD5"/>
    <w:rsid w:val="008F057F"/>
    <w:rsid w:val="009017E2"/>
    <w:rsid w:val="009063BD"/>
    <w:rsid w:val="00913749"/>
    <w:rsid w:val="00914170"/>
    <w:rsid w:val="00922664"/>
    <w:rsid w:val="00923682"/>
    <w:rsid w:val="0092555F"/>
    <w:rsid w:val="00927117"/>
    <w:rsid w:val="00930B57"/>
    <w:rsid w:val="0093156B"/>
    <w:rsid w:val="00933186"/>
    <w:rsid w:val="009362F1"/>
    <w:rsid w:val="009372D7"/>
    <w:rsid w:val="00951A19"/>
    <w:rsid w:val="00953B9C"/>
    <w:rsid w:val="00957606"/>
    <w:rsid w:val="00960FD0"/>
    <w:rsid w:val="00961081"/>
    <w:rsid w:val="00961343"/>
    <w:rsid w:val="00965201"/>
    <w:rsid w:val="0097356A"/>
    <w:rsid w:val="0098080A"/>
    <w:rsid w:val="0098315B"/>
    <w:rsid w:val="00984CC6"/>
    <w:rsid w:val="00993988"/>
    <w:rsid w:val="009A5EAE"/>
    <w:rsid w:val="009A61EB"/>
    <w:rsid w:val="009A70EE"/>
    <w:rsid w:val="009B495E"/>
    <w:rsid w:val="009C2A94"/>
    <w:rsid w:val="009C474D"/>
    <w:rsid w:val="009D2B4F"/>
    <w:rsid w:val="009D2CC7"/>
    <w:rsid w:val="009E585F"/>
    <w:rsid w:val="009F0717"/>
    <w:rsid w:val="009F7B11"/>
    <w:rsid w:val="009F7F45"/>
    <w:rsid w:val="00A02BEE"/>
    <w:rsid w:val="00A11093"/>
    <w:rsid w:val="00A110AB"/>
    <w:rsid w:val="00A205C2"/>
    <w:rsid w:val="00A2186C"/>
    <w:rsid w:val="00A22974"/>
    <w:rsid w:val="00A26BD0"/>
    <w:rsid w:val="00A3248A"/>
    <w:rsid w:val="00A325BF"/>
    <w:rsid w:val="00A32D93"/>
    <w:rsid w:val="00A402CF"/>
    <w:rsid w:val="00A41012"/>
    <w:rsid w:val="00A52281"/>
    <w:rsid w:val="00A555C3"/>
    <w:rsid w:val="00A5687B"/>
    <w:rsid w:val="00A61F3D"/>
    <w:rsid w:val="00A621A4"/>
    <w:rsid w:val="00A63ACB"/>
    <w:rsid w:val="00A63E2F"/>
    <w:rsid w:val="00A70BC5"/>
    <w:rsid w:val="00A74342"/>
    <w:rsid w:val="00A74758"/>
    <w:rsid w:val="00A75618"/>
    <w:rsid w:val="00A801FC"/>
    <w:rsid w:val="00A830D3"/>
    <w:rsid w:val="00A84C7E"/>
    <w:rsid w:val="00A919AB"/>
    <w:rsid w:val="00A96279"/>
    <w:rsid w:val="00A967DD"/>
    <w:rsid w:val="00AA50DC"/>
    <w:rsid w:val="00AC1329"/>
    <w:rsid w:val="00AC1C3B"/>
    <w:rsid w:val="00AC7161"/>
    <w:rsid w:val="00AD349B"/>
    <w:rsid w:val="00AD4B87"/>
    <w:rsid w:val="00AF2072"/>
    <w:rsid w:val="00AF22F9"/>
    <w:rsid w:val="00B00680"/>
    <w:rsid w:val="00B04533"/>
    <w:rsid w:val="00B14BBC"/>
    <w:rsid w:val="00B23AAC"/>
    <w:rsid w:val="00B24A6C"/>
    <w:rsid w:val="00B25B88"/>
    <w:rsid w:val="00B32B65"/>
    <w:rsid w:val="00B40327"/>
    <w:rsid w:val="00B41E52"/>
    <w:rsid w:val="00B438AA"/>
    <w:rsid w:val="00B55872"/>
    <w:rsid w:val="00B60F97"/>
    <w:rsid w:val="00B7005D"/>
    <w:rsid w:val="00B7029E"/>
    <w:rsid w:val="00B7335F"/>
    <w:rsid w:val="00B77072"/>
    <w:rsid w:val="00B82445"/>
    <w:rsid w:val="00B853B0"/>
    <w:rsid w:val="00B868C4"/>
    <w:rsid w:val="00B95522"/>
    <w:rsid w:val="00BA59FC"/>
    <w:rsid w:val="00BA78FA"/>
    <w:rsid w:val="00BB2517"/>
    <w:rsid w:val="00BB2535"/>
    <w:rsid w:val="00BB742E"/>
    <w:rsid w:val="00BC2222"/>
    <w:rsid w:val="00BD08CC"/>
    <w:rsid w:val="00BD6838"/>
    <w:rsid w:val="00BD764E"/>
    <w:rsid w:val="00BE4316"/>
    <w:rsid w:val="00BF15CE"/>
    <w:rsid w:val="00C01A36"/>
    <w:rsid w:val="00C1002E"/>
    <w:rsid w:val="00C1085E"/>
    <w:rsid w:val="00C11476"/>
    <w:rsid w:val="00C13A0C"/>
    <w:rsid w:val="00C17313"/>
    <w:rsid w:val="00C20C47"/>
    <w:rsid w:val="00C249C3"/>
    <w:rsid w:val="00C26FA9"/>
    <w:rsid w:val="00C34D68"/>
    <w:rsid w:val="00C400D8"/>
    <w:rsid w:val="00C46598"/>
    <w:rsid w:val="00C55529"/>
    <w:rsid w:val="00C6195F"/>
    <w:rsid w:val="00C63EA9"/>
    <w:rsid w:val="00C648D5"/>
    <w:rsid w:val="00C64E2F"/>
    <w:rsid w:val="00C67363"/>
    <w:rsid w:val="00C70073"/>
    <w:rsid w:val="00C70B09"/>
    <w:rsid w:val="00C751DB"/>
    <w:rsid w:val="00C82F98"/>
    <w:rsid w:val="00C835CA"/>
    <w:rsid w:val="00C867AE"/>
    <w:rsid w:val="00C9021A"/>
    <w:rsid w:val="00C911BF"/>
    <w:rsid w:val="00C9182B"/>
    <w:rsid w:val="00CA007C"/>
    <w:rsid w:val="00CA346F"/>
    <w:rsid w:val="00CA56FB"/>
    <w:rsid w:val="00CA58DD"/>
    <w:rsid w:val="00CA684D"/>
    <w:rsid w:val="00CB7E38"/>
    <w:rsid w:val="00CC0614"/>
    <w:rsid w:val="00CC436D"/>
    <w:rsid w:val="00CC74D4"/>
    <w:rsid w:val="00CD604F"/>
    <w:rsid w:val="00CD7C3A"/>
    <w:rsid w:val="00CE0489"/>
    <w:rsid w:val="00CE15CA"/>
    <w:rsid w:val="00D03803"/>
    <w:rsid w:val="00D062DD"/>
    <w:rsid w:val="00D2174D"/>
    <w:rsid w:val="00D2591D"/>
    <w:rsid w:val="00D32797"/>
    <w:rsid w:val="00D362D1"/>
    <w:rsid w:val="00D42ECB"/>
    <w:rsid w:val="00D42F82"/>
    <w:rsid w:val="00D45765"/>
    <w:rsid w:val="00D45E8A"/>
    <w:rsid w:val="00D46E2F"/>
    <w:rsid w:val="00D5012D"/>
    <w:rsid w:val="00D61F9A"/>
    <w:rsid w:val="00D62B87"/>
    <w:rsid w:val="00D708DC"/>
    <w:rsid w:val="00D8594B"/>
    <w:rsid w:val="00D91D75"/>
    <w:rsid w:val="00D9525A"/>
    <w:rsid w:val="00D95CAC"/>
    <w:rsid w:val="00DA026B"/>
    <w:rsid w:val="00DA6A4A"/>
    <w:rsid w:val="00DB026F"/>
    <w:rsid w:val="00DB63B3"/>
    <w:rsid w:val="00DC49FD"/>
    <w:rsid w:val="00DC7164"/>
    <w:rsid w:val="00DD0113"/>
    <w:rsid w:val="00DF027A"/>
    <w:rsid w:val="00DF1284"/>
    <w:rsid w:val="00DF6425"/>
    <w:rsid w:val="00E1143F"/>
    <w:rsid w:val="00E17EDF"/>
    <w:rsid w:val="00E219BA"/>
    <w:rsid w:val="00E27D0E"/>
    <w:rsid w:val="00E30D00"/>
    <w:rsid w:val="00E33C1B"/>
    <w:rsid w:val="00E34472"/>
    <w:rsid w:val="00E3758F"/>
    <w:rsid w:val="00E41509"/>
    <w:rsid w:val="00E42883"/>
    <w:rsid w:val="00E46979"/>
    <w:rsid w:val="00E53539"/>
    <w:rsid w:val="00E541EC"/>
    <w:rsid w:val="00E5509E"/>
    <w:rsid w:val="00E61AD1"/>
    <w:rsid w:val="00E63D53"/>
    <w:rsid w:val="00E66A36"/>
    <w:rsid w:val="00E66B88"/>
    <w:rsid w:val="00E706B8"/>
    <w:rsid w:val="00E72E66"/>
    <w:rsid w:val="00E91196"/>
    <w:rsid w:val="00E921C2"/>
    <w:rsid w:val="00E967DB"/>
    <w:rsid w:val="00EA0992"/>
    <w:rsid w:val="00EB169A"/>
    <w:rsid w:val="00EB7336"/>
    <w:rsid w:val="00EC2AB2"/>
    <w:rsid w:val="00EC5F42"/>
    <w:rsid w:val="00ED3ACB"/>
    <w:rsid w:val="00ED424C"/>
    <w:rsid w:val="00ED4FC4"/>
    <w:rsid w:val="00ED78CF"/>
    <w:rsid w:val="00EE26C3"/>
    <w:rsid w:val="00F04DEF"/>
    <w:rsid w:val="00F06BB2"/>
    <w:rsid w:val="00F078D1"/>
    <w:rsid w:val="00F26820"/>
    <w:rsid w:val="00F36AC0"/>
    <w:rsid w:val="00F40DAC"/>
    <w:rsid w:val="00F42FA9"/>
    <w:rsid w:val="00F458F8"/>
    <w:rsid w:val="00F45BCC"/>
    <w:rsid w:val="00F55E3F"/>
    <w:rsid w:val="00F62553"/>
    <w:rsid w:val="00F64C93"/>
    <w:rsid w:val="00F700CB"/>
    <w:rsid w:val="00F702CC"/>
    <w:rsid w:val="00F74493"/>
    <w:rsid w:val="00F7578C"/>
    <w:rsid w:val="00F762A1"/>
    <w:rsid w:val="00F76370"/>
    <w:rsid w:val="00F81501"/>
    <w:rsid w:val="00F8424F"/>
    <w:rsid w:val="00F84304"/>
    <w:rsid w:val="00F8510E"/>
    <w:rsid w:val="00F96520"/>
    <w:rsid w:val="00FA06CA"/>
    <w:rsid w:val="00FA57A4"/>
    <w:rsid w:val="00FC3A02"/>
    <w:rsid w:val="00FC4BB1"/>
    <w:rsid w:val="00FD1F3F"/>
    <w:rsid w:val="00FD6378"/>
    <w:rsid w:val="00FE061D"/>
    <w:rsid w:val="00FE2B2C"/>
    <w:rsid w:val="00FE3B09"/>
    <w:rsid w:val="00FE684B"/>
    <w:rsid w:val="00FE74E0"/>
    <w:rsid w:val="00FF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01799"/>
  <w15:docId w15:val="{3FAC6FB5-1F48-4A85-BF73-5362C43B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lang w:val="en-US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6087"/>
    <w:pPr>
      <w:spacing w:after="200" w:line="276" w:lineRule="auto"/>
    </w:pPr>
    <w:rPr>
      <w:rFonts w:cstheme="minorBidi"/>
      <w:sz w:val="22"/>
      <w:szCs w:val="22"/>
      <w:lang w:val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03877"/>
    <w:pPr>
      <w:keepNext/>
      <w:keepLines/>
      <w:numPr>
        <w:numId w:val="1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F82"/>
    <w:pPr>
      <w:keepNext/>
      <w:keepLines/>
      <w:numPr>
        <w:ilvl w:val="1"/>
        <w:numId w:val="18"/>
      </w:numPr>
      <w:spacing w:before="360" w:after="12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42F82"/>
    <w:pPr>
      <w:keepNext/>
      <w:keepLines/>
      <w:numPr>
        <w:ilvl w:val="2"/>
        <w:numId w:val="18"/>
      </w:numPr>
      <w:spacing w:before="24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56FE"/>
    <w:pPr>
      <w:keepNext/>
      <w:keepLines/>
      <w:numPr>
        <w:ilvl w:val="3"/>
        <w:numId w:val="18"/>
      </w:numPr>
      <w:spacing w:before="200" w:after="8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56FE"/>
    <w:pPr>
      <w:keepNext/>
      <w:keepLines/>
      <w:numPr>
        <w:ilvl w:val="4"/>
        <w:numId w:val="18"/>
      </w:numPr>
      <w:spacing w:before="200" w:after="8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6FE"/>
    <w:pPr>
      <w:keepNext/>
      <w:keepLines/>
      <w:numPr>
        <w:ilvl w:val="5"/>
        <w:numId w:val="18"/>
      </w:numPr>
      <w:spacing w:before="200" w:after="8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Nadpis7">
    <w:name w:val="heading 7"/>
    <w:basedOn w:val="Nadpis6"/>
    <w:next w:val="Normln"/>
    <w:link w:val="Nadpis7Char"/>
    <w:uiPriority w:val="9"/>
    <w:semiHidden/>
    <w:unhideWhenUsed/>
    <w:qFormat/>
    <w:rsid w:val="002456FE"/>
    <w:pPr>
      <w:numPr>
        <w:ilvl w:val="6"/>
      </w:numPr>
      <w:outlineLvl w:val="6"/>
    </w:pPr>
    <w:rPr>
      <w:sz w:val="20"/>
    </w:rPr>
  </w:style>
  <w:style w:type="paragraph" w:styleId="Nadpis8">
    <w:name w:val="heading 8"/>
    <w:basedOn w:val="Nadpis7"/>
    <w:next w:val="Normln"/>
    <w:link w:val="Nadpis8Char"/>
    <w:uiPriority w:val="9"/>
    <w:semiHidden/>
    <w:unhideWhenUsed/>
    <w:qFormat/>
    <w:rsid w:val="003B4802"/>
    <w:pPr>
      <w:numPr>
        <w:ilvl w:val="7"/>
      </w:numPr>
      <w:outlineLvl w:val="7"/>
    </w:pPr>
  </w:style>
  <w:style w:type="paragraph" w:styleId="Nadpis9">
    <w:name w:val="heading 9"/>
    <w:basedOn w:val="Nadpis8"/>
    <w:next w:val="Normln"/>
    <w:link w:val="Nadpis9Char"/>
    <w:uiPriority w:val="9"/>
    <w:semiHidden/>
    <w:unhideWhenUsed/>
    <w:qFormat/>
    <w:rsid w:val="003B480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03877"/>
    <w:rPr>
      <w:rFonts w:asciiTheme="majorHAnsi" w:eastAsiaTheme="majorEastAsia" w:hAnsiTheme="majorHAnsi" w:cstheme="majorBidi"/>
      <w:b/>
      <w:bCs/>
      <w:color w:val="000000" w:themeColor="text1"/>
      <w:sz w:val="40"/>
      <w:szCs w:val="28"/>
      <w:lang w:val="cs-CZ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F82"/>
    <w:rPr>
      <w:rFonts w:asciiTheme="majorHAnsi" w:eastAsiaTheme="majorEastAsia" w:hAnsiTheme="majorHAnsi" w:cstheme="majorBidi"/>
      <w:b/>
      <w:bCs/>
      <w:color w:val="000000" w:themeColor="text1"/>
      <w:sz w:val="28"/>
      <w:szCs w:val="26"/>
      <w:lang w:val="cs-CZ"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D42F82"/>
    <w:rPr>
      <w:rFonts w:asciiTheme="majorHAnsi" w:eastAsiaTheme="majorEastAsia" w:hAnsiTheme="majorHAnsi" w:cstheme="majorBidi"/>
      <w:b/>
      <w:bCs/>
      <w:color w:val="000000" w:themeColor="text1"/>
      <w:sz w:val="24"/>
      <w:szCs w:val="22"/>
      <w:lang w:val="cs-CZ" w:bidi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56FE"/>
    <w:rPr>
      <w:rFonts w:asciiTheme="majorHAnsi" w:eastAsiaTheme="majorEastAsia" w:hAnsiTheme="majorHAnsi" w:cstheme="majorBidi"/>
      <w:b/>
      <w:bCs/>
      <w:i/>
      <w:iCs/>
      <w:sz w:val="22"/>
      <w:szCs w:val="22"/>
      <w:lang w:val="cs-CZ" w:bidi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56FE"/>
    <w:rPr>
      <w:rFonts w:asciiTheme="majorHAnsi" w:eastAsiaTheme="majorEastAsia" w:hAnsiTheme="majorHAnsi" w:cstheme="majorBidi"/>
      <w:color w:val="000000" w:themeColor="text1"/>
      <w:sz w:val="22"/>
      <w:szCs w:val="22"/>
      <w:lang w:val="cs-CZ" w:bidi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56FE"/>
    <w:rPr>
      <w:rFonts w:asciiTheme="majorHAnsi" w:eastAsiaTheme="majorEastAsia" w:hAnsiTheme="majorHAnsi" w:cstheme="majorBidi"/>
      <w:i/>
      <w:iCs/>
      <w:sz w:val="22"/>
      <w:szCs w:val="22"/>
      <w:lang w:val="cs-CZ" w:bidi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56FE"/>
    <w:rPr>
      <w:rFonts w:asciiTheme="majorHAnsi" w:eastAsiaTheme="majorEastAsia" w:hAnsiTheme="majorHAnsi" w:cstheme="majorBidi"/>
      <w:i/>
      <w:iCs/>
      <w:szCs w:val="22"/>
      <w:lang w:val="cs-CZ"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5AF1"/>
    <w:rPr>
      <w:rFonts w:asciiTheme="majorHAnsi" w:eastAsiaTheme="majorEastAsia" w:hAnsiTheme="majorHAnsi" w:cstheme="majorBidi"/>
      <w:i/>
      <w:iCs/>
      <w:sz w:val="24"/>
      <w:szCs w:val="22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5AF1"/>
    <w:rPr>
      <w:rFonts w:asciiTheme="majorHAnsi" w:eastAsiaTheme="majorEastAsia" w:hAnsiTheme="majorHAnsi" w:cstheme="majorBidi"/>
      <w:i/>
      <w:iCs/>
      <w:sz w:val="24"/>
      <w:szCs w:val="22"/>
      <w:lang w:val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F41FC"/>
    <w:rPr>
      <w:b/>
      <w:bCs/>
      <w:color w:val="0070C0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621A4"/>
    <w:pPr>
      <w:pBdr>
        <w:bottom w:val="single" w:sz="12" w:space="4" w:color="000000" w:themeColor="text1"/>
      </w:pBdr>
      <w:spacing w:after="300"/>
      <w:contextualSpacing/>
    </w:pPr>
    <w:rPr>
      <w:rFonts w:asciiTheme="majorHAnsi" w:eastAsiaTheme="majorEastAsia" w:hAnsiTheme="majorHAnsi" w:cstheme="majorBidi"/>
      <w:b/>
      <w:color w:val="000000" w:themeColor="text1"/>
      <w:spacing w:val="5"/>
      <w:kern w:val="28"/>
      <w:sz w:val="46"/>
      <w:szCs w:val="46"/>
    </w:rPr>
  </w:style>
  <w:style w:type="character" w:customStyle="1" w:styleId="NzevChar">
    <w:name w:val="Název Char"/>
    <w:basedOn w:val="Standardnpsmoodstavce"/>
    <w:link w:val="Nzev"/>
    <w:uiPriority w:val="10"/>
    <w:rsid w:val="00A621A4"/>
    <w:rPr>
      <w:rFonts w:asciiTheme="majorHAnsi" w:eastAsiaTheme="majorEastAsia" w:hAnsiTheme="majorHAnsi" w:cstheme="majorBidi"/>
      <w:b/>
      <w:color w:val="000000" w:themeColor="text1"/>
      <w:spacing w:val="5"/>
      <w:kern w:val="28"/>
      <w:sz w:val="46"/>
      <w:szCs w:val="46"/>
      <w:lang w:val="cs-CZ" w:bidi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1A4"/>
    <w:pPr>
      <w:numPr>
        <w:ilvl w:val="1"/>
      </w:numPr>
    </w:pPr>
    <w:rPr>
      <w:rFonts w:asciiTheme="majorHAnsi" w:eastAsiaTheme="majorEastAsia" w:hAnsiTheme="majorHAnsi" w:cstheme="majorBidi"/>
      <w:iCs/>
      <w:color w:val="707070" w:themeColor="background2"/>
      <w:spacing w:val="15"/>
      <w:sz w:val="24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A621A4"/>
    <w:rPr>
      <w:rFonts w:asciiTheme="majorHAnsi" w:eastAsiaTheme="majorEastAsia" w:hAnsiTheme="majorHAnsi" w:cstheme="majorBidi"/>
      <w:iCs/>
      <w:color w:val="707070" w:themeColor="background2"/>
      <w:spacing w:val="15"/>
      <w:sz w:val="24"/>
      <w:szCs w:val="30"/>
      <w:lang w:val="cs-CZ" w:bidi="ar-SA"/>
    </w:rPr>
  </w:style>
  <w:style w:type="character" w:styleId="Siln">
    <w:name w:val="Strong"/>
    <w:basedOn w:val="Standardnpsmoodstavce"/>
    <w:uiPriority w:val="22"/>
    <w:qFormat/>
    <w:rsid w:val="00D5012D"/>
    <w:rPr>
      <w:b/>
      <w:bCs/>
    </w:rPr>
  </w:style>
  <w:style w:type="character" w:styleId="Zdraznn">
    <w:name w:val="Emphasis"/>
    <w:basedOn w:val="Standardnpsmoodstavce"/>
    <w:uiPriority w:val="20"/>
    <w:qFormat/>
    <w:rsid w:val="00953B9C"/>
    <w:rPr>
      <w:b/>
      <w:iCs/>
      <w:color w:val="707070" w:themeColor="background2"/>
    </w:rPr>
  </w:style>
  <w:style w:type="paragraph" w:styleId="Bezmezer">
    <w:name w:val="No Spacing"/>
    <w:basedOn w:val="Normln"/>
    <w:uiPriority w:val="1"/>
    <w:qFormat/>
    <w:rsid w:val="005162FB"/>
    <w:pPr>
      <w:spacing w:after="0"/>
    </w:pPr>
  </w:style>
  <w:style w:type="paragraph" w:styleId="Odstavecseseznamem">
    <w:name w:val="List Paragraph"/>
    <w:basedOn w:val="Normln"/>
    <w:uiPriority w:val="34"/>
    <w:unhideWhenUsed/>
    <w:qFormat/>
    <w:rsid w:val="004F41FC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5241DC"/>
    <w:rPr>
      <w:rFonts w:ascii="Cambria" w:hAnsi="Cambria"/>
      <w:i/>
      <w:iCs/>
      <w:color w:val="000000" w:themeColor="text1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5241DC"/>
    <w:rPr>
      <w:rFonts w:ascii="Cambria" w:hAnsi="Cambria" w:cstheme="minorBidi"/>
      <w:i/>
      <w:iCs/>
      <w:color w:val="000000" w:themeColor="text1"/>
      <w:sz w:val="2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41DC"/>
    <w:pPr>
      <w:pBdr>
        <w:bottom w:val="single" w:sz="4" w:space="4" w:color="000000" w:themeColor="text1"/>
      </w:pBdr>
      <w:spacing w:before="200" w:after="280"/>
      <w:ind w:left="936" w:right="936"/>
    </w:pPr>
    <w:rPr>
      <w:b/>
      <w:bCs/>
      <w:i/>
      <w:iCs/>
      <w:color w:val="000000" w:themeColor="text1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41DC"/>
    <w:rPr>
      <w:rFonts w:cstheme="minorBidi"/>
      <w:b/>
      <w:bCs/>
      <w:i/>
      <w:iCs/>
      <w:color w:val="000000" w:themeColor="text1"/>
      <w:sz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4F41F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4F41FC"/>
    <w:rPr>
      <w:b/>
      <w:bCs/>
      <w:i/>
      <w:iCs/>
      <w:color w:val="0070C0" w:themeColor="accent1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4F41F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4F41F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semiHidden/>
    <w:unhideWhenUsed/>
    <w:qFormat/>
    <w:rsid w:val="004F41F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F41FC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5241DC"/>
    <w:rPr>
      <w:color w:val="0070C0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241DC"/>
    <w:rPr>
      <w:color w:val="0070C0" w:themeColor="followedHyperlink"/>
      <w:u w:val="single"/>
    </w:rPr>
  </w:style>
  <w:style w:type="table" w:styleId="Mkatabulky">
    <w:name w:val="Table Grid"/>
    <w:basedOn w:val="Normlntabulka"/>
    <w:uiPriority w:val="59"/>
    <w:rsid w:val="00516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Inexestabulka">
    <w:name w:val="Inexes tabulka"/>
    <w:basedOn w:val="Normlntabulka"/>
    <w:uiPriority w:val="99"/>
    <w:qFormat/>
    <w:rsid w:val="002B2560"/>
    <w:tblPr>
      <w:tblStyleRow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F2F2F2" w:themeFill="background1" w:themeFillShade="F2"/>
      <w:tcMar>
        <w:top w:w="57" w:type="dxa"/>
        <w:bottom w:w="57" w:type="dxa"/>
      </w:tcMar>
      <w:vAlign w:val="center"/>
    </w:tcPr>
    <w:tblStylePr w:type="firstRow">
      <w:pPr>
        <w:jc w:val="left"/>
      </w:pPr>
      <w:rPr>
        <w:b/>
      </w:rPr>
      <w:tblPr/>
      <w:tcPr>
        <w:shd w:val="clear" w:color="auto" w:fill="C5C5C5" w:themeFill="background2" w:themeFillTint="66"/>
      </w:tcPr>
    </w:tblStylePr>
    <w:tblStylePr w:type="lastRow">
      <w:tblPr/>
      <w:tcPr>
        <w:shd w:val="clear" w:color="auto" w:fill="C5C5C5" w:themeFill="background2" w:themeFillTint="66"/>
      </w:tcPr>
    </w:tblStylePr>
    <w:tblStylePr w:type="firstCol">
      <w:tblPr/>
      <w:tcPr>
        <w:shd w:val="clear" w:color="auto" w:fill="C5C5C5" w:themeFill="background2" w:themeFillTint="66"/>
      </w:tcPr>
    </w:tblStylePr>
    <w:tblStylePr w:type="band1Horz">
      <w:tblPr/>
      <w:tcPr>
        <w:shd w:val="clear" w:color="auto" w:fill="FFFFFF" w:themeFill="background1"/>
      </w:tcPr>
    </w:tblStylePr>
  </w:style>
  <w:style w:type="character" w:customStyle="1" w:styleId="Zvraznnintenzivn">
    <w:name w:val="Zvýraznění – intenzivní"/>
    <w:basedOn w:val="Zdraznn"/>
    <w:uiPriority w:val="20"/>
    <w:qFormat/>
    <w:rsid w:val="00F702CC"/>
    <w:rPr>
      <w:b/>
      <w:iCs/>
      <w:color w:val="E2001A" w:themeColor="text2"/>
    </w:rPr>
  </w:style>
  <w:style w:type="paragraph" w:customStyle="1" w:styleId="Perex">
    <w:name w:val="Perex"/>
    <w:basedOn w:val="Normln"/>
    <w:next w:val="Normln"/>
    <w:link w:val="PerexChar"/>
    <w:uiPriority w:val="12"/>
    <w:qFormat/>
    <w:rsid w:val="00F078D1"/>
    <w:pPr>
      <w:pBdr>
        <w:top w:val="single" w:sz="48" w:space="1" w:color="E2001A" w:themeColor="text2"/>
        <w:left w:val="single" w:sz="48" w:space="4" w:color="E2001A" w:themeColor="text2"/>
        <w:bottom w:val="single" w:sz="48" w:space="1" w:color="E2001A" w:themeColor="text2"/>
        <w:right w:val="single" w:sz="48" w:space="4" w:color="E2001A" w:themeColor="text2"/>
      </w:pBdr>
      <w:shd w:val="clear" w:color="auto" w:fill="E2001A" w:themeFill="text2"/>
      <w:spacing w:after="120"/>
      <w:ind w:left="142" w:right="142"/>
    </w:pPr>
    <w:rPr>
      <w:color w:val="FFFFFF" w:themeColor="background1"/>
    </w:rPr>
  </w:style>
  <w:style w:type="paragraph" w:styleId="Zhlav">
    <w:name w:val="header"/>
    <w:aliases w:val="Záhlaví a zápatí"/>
    <w:basedOn w:val="Normln"/>
    <w:link w:val="ZhlavChar"/>
    <w:uiPriority w:val="99"/>
    <w:unhideWhenUsed/>
    <w:rsid w:val="0010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a zápatí Char"/>
    <w:basedOn w:val="Standardnpsmoodstavce"/>
    <w:link w:val="Zhlav"/>
    <w:uiPriority w:val="99"/>
    <w:rsid w:val="00953B9C"/>
    <w:rPr>
      <w:rFonts w:cstheme="minorBidi"/>
      <w:szCs w:val="22"/>
      <w:lang w:val="cs-CZ" w:bidi="ar-SA"/>
    </w:rPr>
  </w:style>
  <w:style w:type="paragraph" w:styleId="Zpat">
    <w:name w:val="footer"/>
    <w:basedOn w:val="Normln"/>
    <w:link w:val="ZpatChar"/>
    <w:uiPriority w:val="99"/>
    <w:unhideWhenUsed/>
    <w:rsid w:val="0010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3B9C"/>
    <w:rPr>
      <w:rFonts w:cstheme="minorBidi"/>
      <w:szCs w:val="22"/>
      <w:lang w:val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6FD"/>
    <w:rPr>
      <w:rFonts w:ascii="Tahoma" w:eastAsiaTheme="minorEastAsi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D708DC"/>
    <w:rPr>
      <w:color w:val="808080"/>
    </w:rPr>
  </w:style>
  <w:style w:type="paragraph" w:styleId="Obsah2">
    <w:name w:val="toc 2"/>
    <w:basedOn w:val="Normln"/>
    <w:next w:val="Normln"/>
    <w:autoRedefine/>
    <w:uiPriority w:val="39"/>
    <w:semiHidden/>
    <w:unhideWhenUsed/>
    <w:rsid w:val="00CB7E38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CB7E38"/>
    <w:pPr>
      <w:spacing w:after="100"/>
    </w:pPr>
    <w:rPr>
      <w:b/>
    </w:rPr>
  </w:style>
  <w:style w:type="character" w:customStyle="1" w:styleId="PerexChar">
    <w:name w:val="Perex Char"/>
    <w:basedOn w:val="Standardnpsmoodstavce"/>
    <w:link w:val="Perex"/>
    <w:uiPriority w:val="12"/>
    <w:rsid w:val="00F078D1"/>
    <w:rPr>
      <w:rFonts w:cstheme="minorBidi"/>
      <w:color w:val="FFFFFF" w:themeColor="background1"/>
      <w:szCs w:val="22"/>
      <w:shd w:val="clear" w:color="auto" w:fill="E2001A" w:themeFill="text2"/>
      <w:lang w:val="cs-CZ" w:bidi="ar-SA"/>
    </w:rPr>
  </w:style>
  <w:style w:type="character" w:customStyle="1" w:styleId="Nadpis10">
    <w:name w:val="Nadpis #1"/>
    <w:basedOn w:val="Standardnpsmoodstavce"/>
    <w:rsid w:val="007038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cs-CZ"/>
    </w:rPr>
  </w:style>
  <w:style w:type="character" w:customStyle="1" w:styleId="Nadpis20">
    <w:name w:val="Nadpis #2_"/>
    <w:basedOn w:val="Standardnpsmoodstavce"/>
    <w:link w:val="Nadpis21"/>
    <w:rsid w:val="00703877"/>
    <w:rPr>
      <w:rFonts w:ascii="Microsoft Sans Serif" w:eastAsia="Microsoft Sans Serif" w:hAnsi="Microsoft Sans Serif" w:cs="Microsoft Sans Serif"/>
      <w:b/>
      <w:bCs/>
      <w:shd w:val="clear" w:color="auto" w:fill="FFFFFF"/>
    </w:rPr>
  </w:style>
  <w:style w:type="character" w:customStyle="1" w:styleId="Zkladntext">
    <w:name w:val="Základní text_"/>
    <w:basedOn w:val="Standardnpsmoodstavce"/>
    <w:link w:val="Zkladntext5"/>
    <w:rsid w:val="00703877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ZkladntextCalibri105ptTun">
    <w:name w:val="Základní text + Calibri;10;5 pt;Tučné"/>
    <w:basedOn w:val="Zkladntext"/>
    <w:rsid w:val="00703877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">
    <w:name w:val="Základní text3"/>
    <w:basedOn w:val="Zkladntext"/>
    <w:rsid w:val="00703877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9"/>
      <w:szCs w:val="19"/>
      <w:shd w:val="clear" w:color="auto" w:fill="FFFFFF"/>
      <w:lang w:val="cs-CZ"/>
    </w:rPr>
  </w:style>
  <w:style w:type="character" w:customStyle="1" w:styleId="ZkladntextMalpsmena">
    <w:name w:val="Základní text + Malá písmena"/>
    <w:basedOn w:val="Zkladntext"/>
    <w:rsid w:val="00703877"/>
    <w:rPr>
      <w:rFonts w:ascii="Microsoft Sans Serif" w:eastAsia="Microsoft Sans Serif" w:hAnsi="Microsoft Sans Serif" w:cs="Microsoft Sans Serif"/>
      <w:smallCaps/>
      <w:color w:val="000000"/>
      <w:spacing w:val="0"/>
      <w:w w:val="100"/>
      <w:position w:val="0"/>
      <w:sz w:val="19"/>
      <w:szCs w:val="19"/>
      <w:shd w:val="clear" w:color="auto" w:fill="FFFFFF"/>
      <w:lang w:val="cs-CZ"/>
    </w:rPr>
  </w:style>
  <w:style w:type="character" w:customStyle="1" w:styleId="Zkladntext10ptTun">
    <w:name w:val="Základní text + 10 pt;Tučné"/>
    <w:basedOn w:val="Zkladntext"/>
    <w:rsid w:val="00703877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/>
    </w:rPr>
  </w:style>
  <w:style w:type="character" w:customStyle="1" w:styleId="Zkladntext4">
    <w:name w:val="Základní text4"/>
    <w:basedOn w:val="Zkladntext"/>
    <w:rsid w:val="00703877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9"/>
      <w:szCs w:val="19"/>
      <w:shd w:val="clear" w:color="auto" w:fill="FFFFFF"/>
      <w:lang w:val="cs-CZ"/>
    </w:rPr>
  </w:style>
  <w:style w:type="paragraph" w:customStyle="1" w:styleId="Nadpis21">
    <w:name w:val="Nadpis #2"/>
    <w:basedOn w:val="Normln"/>
    <w:link w:val="Nadpis20"/>
    <w:rsid w:val="00703877"/>
    <w:pPr>
      <w:widowControl w:val="0"/>
      <w:shd w:val="clear" w:color="auto" w:fill="FFFFFF"/>
      <w:spacing w:before="240" w:after="120" w:line="0" w:lineRule="atLeast"/>
      <w:jc w:val="both"/>
      <w:outlineLvl w:val="1"/>
    </w:pPr>
    <w:rPr>
      <w:rFonts w:ascii="Microsoft Sans Serif" w:eastAsia="Microsoft Sans Serif" w:hAnsi="Microsoft Sans Serif" w:cs="Microsoft Sans Serif"/>
      <w:b/>
      <w:bCs/>
      <w:sz w:val="20"/>
      <w:szCs w:val="20"/>
      <w:lang w:val="en-US" w:bidi="en-US"/>
    </w:rPr>
  </w:style>
  <w:style w:type="paragraph" w:customStyle="1" w:styleId="Zkladntext5">
    <w:name w:val="Základní text5"/>
    <w:basedOn w:val="Normln"/>
    <w:link w:val="Zkladntext"/>
    <w:rsid w:val="00703877"/>
    <w:pPr>
      <w:widowControl w:val="0"/>
      <w:shd w:val="clear" w:color="auto" w:fill="FFFFFF"/>
      <w:spacing w:before="120" w:after="240" w:line="0" w:lineRule="atLeast"/>
      <w:jc w:val="both"/>
    </w:pPr>
    <w:rPr>
      <w:rFonts w:ascii="Microsoft Sans Serif" w:eastAsia="Microsoft Sans Serif" w:hAnsi="Microsoft Sans Serif" w:cs="Microsoft Sans Serif"/>
      <w:sz w:val="19"/>
      <w:szCs w:val="19"/>
      <w:lang w:val="en-US" w:bidi="en-US"/>
    </w:rPr>
  </w:style>
  <w:style w:type="paragraph" w:customStyle="1" w:styleId="WW-Zkladntextodsazen2">
    <w:name w:val="WW-Základní text odsazený 2"/>
    <w:basedOn w:val="Normln"/>
    <w:rsid w:val="00863E0B"/>
    <w:pPr>
      <w:suppressAutoHyphens/>
      <w:spacing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Zkladntext10pt">
    <w:name w:val="Základní text + 10 pt"/>
    <w:aliases w:val="Tučné"/>
    <w:basedOn w:val="Zkladntext"/>
    <w:rsid w:val="00FA57A4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&#225;ce\Inexes\Podklady\Inexes_styl_v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B64DE7942A4129A1F688135BD66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0338DD-5243-483C-8623-83B073514977}"/>
      </w:docPartPr>
      <w:docPartBody>
        <w:p w:rsidR="008D0FB5" w:rsidRDefault="00DE7AD1">
          <w:pPr>
            <w:pStyle w:val="CBB64DE7942A4129A1F688135BD66A89"/>
          </w:pPr>
          <w:r w:rsidRPr="00E72740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AD1"/>
    <w:rsid w:val="0008118A"/>
    <w:rsid w:val="000B138D"/>
    <w:rsid w:val="002670AF"/>
    <w:rsid w:val="00281320"/>
    <w:rsid w:val="002A53D7"/>
    <w:rsid w:val="002E40CC"/>
    <w:rsid w:val="003228B5"/>
    <w:rsid w:val="005B79ED"/>
    <w:rsid w:val="006265D5"/>
    <w:rsid w:val="00636117"/>
    <w:rsid w:val="00686BA5"/>
    <w:rsid w:val="006D063C"/>
    <w:rsid w:val="00774FF0"/>
    <w:rsid w:val="007A71A9"/>
    <w:rsid w:val="007B6205"/>
    <w:rsid w:val="007F35B3"/>
    <w:rsid w:val="00882EA6"/>
    <w:rsid w:val="008A1530"/>
    <w:rsid w:val="008D0FB5"/>
    <w:rsid w:val="00947DA4"/>
    <w:rsid w:val="00961C9B"/>
    <w:rsid w:val="00980B6A"/>
    <w:rsid w:val="009F4529"/>
    <w:rsid w:val="00A16F88"/>
    <w:rsid w:val="00A737A1"/>
    <w:rsid w:val="00AC09B4"/>
    <w:rsid w:val="00B104E5"/>
    <w:rsid w:val="00B47FFA"/>
    <w:rsid w:val="00B54D61"/>
    <w:rsid w:val="00B95C49"/>
    <w:rsid w:val="00BE5CE2"/>
    <w:rsid w:val="00C51E9B"/>
    <w:rsid w:val="00DE7AD1"/>
    <w:rsid w:val="00F14B3C"/>
    <w:rsid w:val="00F14E2B"/>
    <w:rsid w:val="00F87ACB"/>
    <w:rsid w:val="00FA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BB64DE7942A4129A1F688135BD66A89">
    <w:name w:val="CBB64DE7942A4129A1F688135BD66A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Inexes">
      <a:dk1>
        <a:sysClr val="windowText" lastClr="000000"/>
      </a:dk1>
      <a:lt1>
        <a:sysClr val="window" lastClr="FFFFFF"/>
      </a:lt1>
      <a:dk2>
        <a:srgbClr val="E2001A"/>
      </a:dk2>
      <a:lt2>
        <a:srgbClr val="707070"/>
      </a:lt2>
      <a:accent1>
        <a:srgbClr val="0070C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70C0"/>
      </a:hlink>
      <a:folHlink>
        <a:srgbClr val="0070C0"/>
      </a:folHlink>
    </a:clrScheme>
    <a:fontScheme name="Inexe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EBEFC8208DB74F94F9387471300BE7" ma:contentTypeVersion="3" ma:contentTypeDescription="Vytvoří nový dokument" ma:contentTypeScope="" ma:versionID="a797f668b8bbbd10a39d49cb2f6fab3a">
  <xsd:schema xmlns:xsd="http://www.w3.org/2001/XMLSchema" xmlns:xs="http://www.w3.org/2001/XMLSchema" xmlns:p="http://schemas.microsoft.com/office/2006/metadata/properties" xmlns:ns2="ea9cb252-2ea1-4a2a-99b7-a1edf0496fc2" targetNamespace="http://schemas.microsoft.com/office/2006/metadata/properties" ma:root="true" ma:fieldsID="0f263692e9ba008416b7b1dad1295ce4" ns2:_="">
    <xsd:import namespace="ea9cb252-2ea1-4a2a-99b7-a1edf0496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cb252-2ea1-4a2a-99b7-a1edf0496f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E5AF69-4A87-4C3C-BBF6-2C53AFE6BD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9AA0C-04A8-4B83-AD76-41CB31074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DAB59-A1EB-4B4E-B418-6D89ACB1F7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23885D-5758-4645-BED8-213D2EE93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cb252-2ea1-4a2a-99b7-a1edf049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Inexes_styl_v4.dotx</Template>
  <TotalTime>13</TotalTime>
  <Pages>8</Pages>
  <Words>1318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Inexes s.r.o.</Company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 P</dc:creator>
  <cp:lastModifiedBy>Přemysl Hřebík</cp:lastModifiedBy>
  <cp:revision>3</cp:revision>
  <cp:lastPrinted>2021-08-31T09:50:00Z</cp:lastPrinted>
  <dcterms:created xsi:type="dcterms:W3CDTF">2023-03-14T14:04:00Z</dcterms:created>
  <dcterms:modified xsi:type="dcterms:W3CDTF">2023-03-14T14:13:00Z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0x0101004AEBEFC8208DB74F94F9387471300BE7</vt:lpwstr>
  </property>
</Properties>
</file>